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FA" w:rsidRPr="00363011" w:rsidRDefault="00363011" w:rsidP="001917FA">
      <w:pPr>
        <w:rPr>
          <w:b/>
          <w:sz w:val="32"/>
          <w:szCs w:val="32"/>
          <w:u w:val="single"/>
        </w:rPr>
      </w:pPr>
      <w:r w:rsidRPr="00363011">
        <w:rPr>
          <w:b/>
          <w:sz w:val="32"/>
          <w:szCs w:val="32"/>
          <w:u w:val="single"/>
        </w:rPr>
        <w:t>Seite 222,</w:t>
      </w:r>
      <w:r w:rsidR="001917FA" w:rsidRPr="00363011">
        <w:rPr>
          <w:b/>
          <w:sz w:val="32"/>
          <w:szCs w:val="32"/>
          <w:u w:val="single"/>
        </w:rPr>
        <w:t xml:space="preserve"> Versuch 1</w:t>
      </w:r>
    </w:p>
    <w:p w:rsidR="00363011" w:rsidRDefault="0063684B" w:rsidP="001917FA">
      <w:pPr>
        <w:rPr>
          <w:b/>
        </w:rPr>
      </w:pPr>
      <w:r w:rsidRPr="0063684B">
        <w:rPr>
          <w:b/>
        </w:rPr>
        <w:t xml:space="preserve">Frage: </w:t>
      </w:r>
      <w:r w:rsidR="00363011">
        <w:rPr>
          <w:b/>
        </w:rPr>
        <w:t>Wie viel Essigsäure ist im Essig?</w:t>
      </w:r>
    </w:p>
    <w:p w:rsidR="0063684B" w:rsidRPr="00D13F65" w:rsidRDefault="0063684B" w:rsidP="00D13F65">
      <w:pPr>
        <w:spacing w:after="0"/>
        <w:rPr>
          <w:b/>
          <w:i/>
        </w:rPr>
      </w:pPr>
      <w:r w:rsidRPr="00D13F65">
        <w:rPr>
          <w:b/>
          <w:i/>
        </w:rPr>
        <w:t>Chemikalien:</w:t>
      </w:r>
    </w:p>
    <w:tbl>
      <w:tblPr>
        <w:tblStyle w:val="HellesRaster-Akzent1"/>
        <w:tblW w:w="0" w:type="auto"/>
        <w:tblLook w:val="04A0"/>
      </w:tblPr>
      <w:tblGrid>
        <w:gridCol w:w="3070"/>
        <w:gridCol w:w="3071"/>
        <w:gridCol w:w="3071"/>
      </w:tblGrid>
      <w:tr w:rsidR="0063684B" w:rsidTr="0063684B">
        <w:trPr>
          <w:cnfStyle w:val="100000000000"/>
        </w:trPr>
        <w:tc>
          <w:tcPr>
            <w:cnfStyle w:val="001000000000"/>
            <w:tcW w:w="3070" w:type="dxa"/>
          </w:tcPr>
          <w:p w:rsidR="0063684B" w:rsidRPr="0063684B" w:rsidRDefault="0063684B" w:rsidP="001917FA">
            <w:r w:rsidRPr="0063684B">
              <w:t>Chemikalie</w:t>
            </w:r>
          </w:p>
        </w:tc>
        <w:tc>
          <w:tcPr>
            <w:tcW w:w="3071" w:type="dxa"/>
          </w:tcPr>
          <w:p w:rsidR="0063684B" w:rsidRPr="0063684B" w:rsidRDefault="0063684B" w:rsidP="001917FA">
            <w:pPr>
              <w:cnfStyle w:val="100000000000"/>
            </w:pPr>
            <w:r w:rsidRPr="0063684B">
              <w:t>Konzentration</w:t>
            </w:r>
          </w:p>
        </w:tc>
        <w:tc>
          <w:tcPr>
            <w:tcW w:w="3071" w:type="dxa"/>
          </w:tcPr>
          <w:p w:rsidR="0063684B" w:rsidRPr="0063684B" w:rsidRDefault="0063684B" w:rsidP="001917FA">
            <w:pPr>
              <w:cnfStyle w:val="100000000000"/>
            </w:pPr>
            <w:r w:rsidRPr="0063684B">
              <w:t>Menge</w:t>
            </w:r>
          </w:p>
        </w:tc>
      </w:tr>
      <w:tr w:rsidR="0063684B" w:rsidTr="0063684B">
        <w:trPr>
          <w:cnfStyle w:val="000000100000"/>
        </w:trPr>
        <w:tc>
          <w:tcPr>
            <w:cnfStyle w:val="001000000000"/>
            <w:tcW w:w="3070" w:type="dxa"/>
          </w:tcPr>
          <w:p w:rsidR="0063684B" w:rsidRDefault="00363011" w:rsidP="001917FA">
            <w:r>
              <w:t>Natronlauge  c(</w:t>
            </w:r>
            <w:proofErr w:type="spellStart"/>
            <w:r>
              <w:t>NaOH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63684B" w:rsidRDefault="0063684B" w:rsidP="001917FA">
            <w:pPr>
              <w:cnfStyle w:val="000000100000"/>
            </w:pPr>
            <w:r>
              <w:t xml:space="preserve">1 </w:t>
            </w:r>
            <w:proofErr w:type="spellStart"/>
            <w:r>
              <w:t>mol</w:t>
            </w:r>
            <w:proofErr w:type="spellEnd"/>
            <w:r>
              <w:t>/l</w:t>
            </w:r>
          </w:p>
        </w:tc>
        <w:tc>
          <w:tcPr>
            <w:tcW w:w="3071" w:type="dxa"/>
          </w:tcPr>
          <w:p w:rsidR="0063684B" w:rsidRDefault="00363011" w:rsidP="001917FA">
            <w:pPr>
              <w:cnfStyle w:val="000000100000"/>
            </w:pPr>
            <w:r>
              <w:t xml:space="preserve">25 </w:t>
            </w:r>
            <w:r w:rsidR="0063684B">
              <w:t>ml</w:t>
            </w:r>
          </w:p>
        </w:tc>
      </w:tr>
      <w:tr w:rsidR="0063684B" w:rsidTr="0063684B">
        <w:trPr>
          <w:cnfStyle w:val="000000010000"/>
        </w:trPr>
        <w:tc>
          <w:tcPr>
            <w:cnfStyle w:val="001000000000"/>
            <w:tcW w:w="3070" w:type="dxa"/>
          </w:tcPr>
          <w:p w:rsidR="0063684B" w:rsidRDefault="00363011" w:rsidP="001917FA">
            <w:r>
              <w:t>Essigsäure c(CH</w:t>
            </w:r>
            <w:r w:rsidRPr="00363011">
              <w:rPr>
                <w:sz w:val="14"/>
              </w:rPr>
              <w:t>3</w:t>
            </w:r>
            <w:r>
              <w:t>COOH)</w:t>
            </w:r>
          </w:p>
        </w:tc>
        <w:tc>
          <w:tcPr>
            <w:tcW w:w="3071" w:type="dxa"/>
          </w:tcPr>
          <w:p w:rsidR="0063684B" w:rsidRDefault="0063684B" w:rsidP="001917FA">
            <w:pPr>
              <w:cnfStyle w:val="000000010000"/>
            </w:pPr>
            <w:r>
              <w:t xml:space="preserve"> </w:t>
            </w:r>
            <w:r w:rsidR="00363011">
              <w:t>Handelsüblicher Weinessig</w:t>
            </w:r>
          </w:p>
        </w:tc>
        <w:tc>
          <w:tcPr>
            <w:tcW w:w="3071" w:type="dxa"/>
          </w:tcPr>
          <w:p w:rsidR="0063684B" w:rsidRDefault="00363011" w:rsidP="001917FA">
            <w:pPr>
              <w:cnfStyle w:val="000000010000"/>
            </w:pPr>
            <w:r>
              <w:t>10</w:t>
            </w:r>
            <w:r w:rsidR="0063684B">
              <w:t xml:space="preserve"> ml</w:t>
            </w:r>
          </w:p>
        </w:tc>
      </w:tr>
    </w:tbl>
    <w:p w:rsidR="00363011" w:rsidRDefault="00363011" w:rsidP="001917FA">
      <w:pPr>
        <w:rPr>
          <w:b/>
        </w:rPr>
      </w:pPr>
    </w:p>
    <w:p w:rsidR="0063684B" w:rsidRPr="00D13F65" w:rsidRDefault="0063684B" w:rsidP="00D53044">
      <w:pPr>
        <w:spacing w:after="0"/>
        <w:rPr>
          <w:b/>
          <w:i/>
        </w:rPr>
      </w:pPr>
      <w:r w:rsidRPr="00D13F65">
        <w:rPr>
          <w:b/>
          <w:i/>
        </w:rPr>
        <w:t>Unfallverhütung und Entsorgung:</w:t>
      </w:r>
    </w:p>
    <w:tbl>
      <w:tblPr>
        <w:tblStyle w:val="HellesRaster-Akzent1"/>
        <w:tblW w:w="9778" w:type="dxa"/>
        <w:tblInd w:w="-459" w:type="dxa"/>
        <w:tblLayout w:type="fixed"/>
        <w:tblLook w:val="04A0"/>
      </w:tblPr>
      <w:tblGrid>
        <w:gridCol w:w="2127"/>
        <w:gridCol w:w="1217"/>
        <w:gridCol w:w="1276"/>
        <w:gridCol w:w="2326"/>
        <w:gridCol w:w="2832"/>
      </w:tblGrid>
      <w:tr w:rsidR="00AA717F" w:rsidTr="00A905AF">
        <w:trPr>
          <w:cnfStyle w:val="100000000000"/>
        </w:trPr>
        <w:tc>
          <w:tcPr>
            <w:cnfStyle w:val="001000000000"/>
            <w:tcW w:w="2127" w:type="dxa"/>
          </w:tcPr>
          <w:p w:rsidR="00AA717F" w:rsidRPr="00AA717F" w:rsidRDefault="00AA717F">
            <w:pPr>
              <w:jc w:val="center"/>
            </w:pPr>
          </w:p>
        </w:tc>
        <w:tc>
          <w:tcPr>
            <w:tcW w:w="1217" w:type="dxa"/>
            <w:hideMark/>
          </w:tcPr>
          <w:p w:rsidR="00AA717F" w:rsidRPr="00AA717F" w:rsidRDefault="00AA717F">
            <w:pPr>
              <w:jc w:val="center"/>
              <w:cnfStyle w:val="100000000000"/>
            </w:pPr>
            <w:proofErr w:type="spellStart"/>
            <w:r w:rsidRPr="00AA717F">
              <w:t>Gefahrenpikto</w:t>
            </w:r>
            <w:proofErr w:type="spellEnd"/>
            <w:r>
              <w:t xml:space="preserve">- </w:t>
            </w:r>
            <w:proofErr w:type="spellStart"/>
            <w:r w:rsidRPr="00AA717F">
              <w:t>gramme</w:t>
            </w:r>
            <w:proofErr w:type="spellEnd"/>
          </w:p>
        </w:tc>
        <w:tc>
          <w:tcPr>
            <w:tcW w:w="1276" w:type="dxa"/>
            <w:hideMark/>
          </w:tcPr>
          <w:p w:rsidR="00AA717F" w:rsidRPr="00AA717F" w:rsidRDefault="00AA717F">
            <w:pPr>
              <w:jc w:val="center"/>
              <w:cnfStyle w:val="100000000000"/>
            </w:pPr>
            <w:r w:rsidRPr="00AA717F">
              <w:t>H-Sätze</w:t>
            </w:r>
          </w:p>
        </w:tc>
        <w:tc>
          <w:tcPr>
            <w:tcW w:w="2326" w:type="dxa"/>
            <w:hideMark/>
          </w:tcPr>
          <w:p w:rsidR="00AA717F" w:rsidRPr="00AA717F" w:rsidRDefault="00AA717F">
            <w:pPr>
              <w:jc w:val="center"/>
              <w:cnfStyle w:val="100000000000"/>
            </w:pPr>
            <w:r w:rsidRPr="00AA717F">
              <w:t>P-Sätze</w:t>
            </w:r>
          </w:p>
        </w:tc>
        <w:tc>
          <w:tcPr>
            <w:tcW w:w="2832" w:type="dxa"/>
          </w:tcPr>
          <w:p w:rsidR="00AA717F" w:rsidRPr="00AA717F" w:rsidRDefault="00AA717F">
            <w:pPr>
              <w:jc w:val="center"/>
              <w:cnfStyle w:val="100000000000"/>
            </w:pPr>
            <w:r>
              <w:t>Entsorgung</w:t>
            </w:r>
          </w:p>
        </w:tc>
      </w:tr>
      <w:tr w:rsidR="00AA717F" w:rsidTr="00A905AF">
        <w:trPr>
          <w:cnfStyle w:val="000000100000"/>
        </w:trPr>
        <w:tc>
          <w:tcPr>
            <w:cnfStyle w:val="001000000000"/>
            <w:tcW w:w="2127" w:type="dxa"/>
            <w:hideMark/>
          </w:tcPr>
          <w:p w:rsidR="00AA717F" w:rsidRPr="00AA717F" w:rsidRDefault="008D778E">
            <w:pPr>
              <w:jc w:val="center"/>
              <w:rPr>
                <w:vertAlign w:val="superscript"/>
              </w:rPr>
            </w:pPr>
            <w:r>
              <w:t>Natronlauge</w:t>
            </w:r>
            <w:r>
              <w:rPr>
                <w:rStyle w:val="Funotenzeichen"/>
              </w:rPr>
              <w:footnoteReference w:id="2"/>
            </w:r>
          </w:p>
        </w:tc>
        <w:tc>
          <w:tcPr>
            <w:tcW w:w="1217" w:type="dxa"/>
            <w:hideMark/>
          </w:tcPr>
          <w:p w:rsidR="00AA717F" w:rsidRDefault="00AA717F">
            <w:pPr>
              <w:jc w:val="center"/>
              <w:cnfStyle w:val="00000010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90550" cy="590550"/>
                  <wp:effectExtent l="0" t="0" r="0" b="0"/>
                  <wp:docPr id="3" name="Grafik 3" descr="http://www.chemie-master.de/lex/sicher/GHS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emie-master.de/lex/sicher/GHS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AA717F" w:rsidRDefault="00AA717F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H290</w:t>
            </w:r>
          </w:p>
          <w:p w:rsidR="00AA717F" w:rsidRDefault="00AA717F">
            <w:pPr>
              <w:cnfStyle w:val="000000100000"/>
            </w:pPr>
            <w:r>
              <w:t>Kann gegenüber    Metallen korrosiv sein</w:t>
            </w:r>
          </w:p>
        </w:tc>
        <w:tc>
          <w:tcPr>
            <w:tcW w:w="2326" w:type="dxa"/>
            <w:hideMark/>
          </w:tcPr>
          <w:p w:rsidR="00AA717F" w:rsidRPr="00D13F65" w:rsidRDefault="00AA717F">
            <w:pPr>
              <w:jc w:val="center"/>
              <w:cnfStyle w:val="000000100000"/>
              <w:rPr>
                <w:b/>
              </w:rPr>
            </w:pPr>
            <w:r w:rsidRPr="00D13F65">
              <w:rPr>
                <w:b/>
              </w:rPr>
              <w:t>P234</w:t>
            </w:r>
          </w:p>
          <w:p w:rsidR="00AA717F" w:rsidRPr="00D13F65" w:rsidRDefault="00AA717F">
            <w:pPr>
              <w:cnfStyle w:val="000000100000"/>
            </w:pPr>
            <w:r w:rsidRPr="00D13F65">
              <w:t>Nur im Original-behälter aufbewahren</w:t>
            </w:r>
          </w:p>
          <w:p w:rsidR="00AA717F" w:rsidRPr="00D13F65" w:rsidRDefault="00AA717F">
            <w:pPr>
              <w:jc w:val="center"/>
              <w:cnfStyle w:val="000000100000"/>
              <w:rPr>
                <w:b/>
              </w:rPr>
            </w:pPr>
            <w:r w:rsidRPr="00D13F65">
              <w:rPr>
                <w:b/>
              </w:rPr>
              <w:t>P390</w:t>
            </w:r>
          </w:p>
          <w:p w:rsidR="00AA717F" w:rsidRDefault="00AA717F">
            <w:pPr>
              <w:cnfStyle w:val="000000100000"/>
            </w:pPr>
            <w:r w:rsidRPr="00D13F65">
              <w:t>Verschüttete Mengen aufnehmen</w:t>
            </w:r>
          </w:p>
        </w:tc>
        <w:tc>
          <w:tcPr>
            <w:tcW w:w="2832" w:type="dxa"/>
          </w:tcPr>
          <w:p w:rsidR="00AA717F" w:rsidRDefault="001F7ADC" w:rsidP="00AA717F">
            <w:pPr>
              <w:cnfStyle w:val="000000100000"/>
              <w:rPr>
                <w:b/>
              </w:rPr>
            </w:pPr>
            <w:r>
              <w:rPr>
                <w:rFonts w:eastAsia="Times New Roman" w:cs="Arial"/>
                <w:lang w:eastAsia="de-DE"/>
              </w:rPr>
              <w:t>Aufgrund der geringen Konzentration und Menge im Ausguss unter dem Abzug entsorgen</w:t>
            </w:r>
          </w:p>
        </w:tc>
      </w:tr>
      <w:tr w:rsidR="00AA717F" w:rsidTr="00A905AF">
        <w:trPr>
          <w:cnfStyle w:val="000000010000"/>
        </w:trPr>
        <w:tc>
          <w:tcPr>
            <w:cnfStyle w:val="001000000000"/>
            <w:tcW w:w="2127" w:type="dxa"/>
            <w:hideMark/>
          </w:tcPr>
          <w:p w:rsidR="00AA717F" w:rsidRPr="00AA717F" w:rsidRDefault="00AA717F">
            <w:pPr>
              <w:jc w:val="center"/>
              <w:rPr>
                <w:vertAlign w:val="superscript"/>
              </w:rPr>
            </w:pPr>
            <w:r w:rsidRPr="00AA717F">
              <w:t>Essigsäure</w:t>
            </w:r>
            <w:r w:rsidR="008D778E">
              <w:rPr>
                <w:rStyle w:val="Funotenzeichen"/>
              </w:rPr>
              <w:footnoteReference w:id="3"/>
            </w:r>
          </w:p>
        </w:tc>
        <w:tc>
          <w:tcPr>
            <w:tcW w:w="1217" w:type="dxa"/>
            <w:hideMark/>
          </w:tcPr>
          <w:p w:rsidR="00AA717F" w:rsidRDefault="00AA717F">
            <w:pPr>
              <w:jc w:val="center"/>
              <w:cnfStyle w:val="000000010000"/>
              <w:rPr>
                <w:b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90550" cy="590550"/>
                  <wp:effectExtent l="0" t="0" r="0" b="0"/>
                  <wp:docPr id="2" name="Grafik 2" descr="http://www.chemie-master.de/lex/sicher/GHS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http://www.chemie-master.de/lex/sicher/GHS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17F" w:rsidRDefault="00AA717F">
            <w:pPr>
              <w:jc w:val="center"/>
              <w:cnfStyle w:val="00000001000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619125" cy="619125"/>
                  <wp:effectExtent l="0" t="0" r="9525" b="9525"/>
                  <wp:docPr id="1" name="Grafik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AA717F" w:rsidRDefault="00AA717F">
            <w:pPr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H315</w:t>
            </w:r>
          </w:p>
          <w:p w:rsidR="00AA717F" w:rsidRDefault="00AA717F">
            <w:pPr>
              <w:cnfStyle w:val="000000010000"/>
            </w:pPr>
            <w:r>
              <w:t>Verursacht Haut-reizungen</w:t>
            </w:r>
          </w:p>
          <w:p w:rsidR="00AA717F" w:rsidRDefault="00AA717F">
            <w:pPr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H319</w:t>
            </w:r>
          </w:p>
          <w:p w:rsidR="00AA717F" w:rsidRDefault="00AA717F">
            <w:pPr>
              <w:cnfStyle w:val="000000010000"/>
            </w:pPr>
            <w:r>
              <w:t>Verursacht schwere Augen-reizungen</w:t>
            </w:r>
          </w:p>
        </w:tc>
        <w:tc>
          <w:tcPr>
            <w:tcW w:w="2326" w:type="dxa"/>
            <w:hideMark/>
          </w:tcPr>
          <w:p w:rsidR="00AA717F" w:rsidRDefault="00AA717F">
            <w:pPr>
              <w:jc w:val="center"/>
              <w:cnfStyle w:val="000000010000"/>
              <w:rPr>
                <w:b/>
              </w:rPr>
            </w:pPr>
            <w:r>
              <w:rPr>
                <w:b/>
              </w:rPr>
              <w:t>P305 + P351 + P338</w:t>
            </w:r>
          </w:p>
          <w:p w:rsidR="00AA717F" w:rsidRDefault="00AA717F">
            <w:pPr>
              <w:cnfStyle w:val="000000010000"/>
            </w:pPr>
            <w:r>
              <w:t>Bei Kontakt mit den Augen: Sofort mit Wasser spülen, vorhandene Kontakt-linsen entfernen, weiter spülen</w:t>
            </w:r>
          </w:p>
        </w:tc>
        <w:tc>
          <w:tcPr>
            <w:tcW w:w="2832" w:type="dxa"/>
          </w:tcPr>
          <w:p w:rsidR="00AA717F" w:rsidRPr="001F7ADC" w:rsidRDefault="001F7ADC" w:rsidP="001F7ADC">
            <w:pPr>
              <w:cnfStyle w:val="000000010000"/>
            </w:pPr>
            <w:r>
              <w:t>Aufgrund der geringen Konzentration und Menge im Ausguss unter dem Abzug entsorgen</w:t>
            </w:r>
          </w:p>
        </w:tc>
      </w:tr>
      <w:tr w:rsidR="008D778E" w:rsidTr="00A905AF">
        <w:trPr>
          <w:cnfStyle w:val="000000100000"/>
        </w:trPr>
        <w:tc>
          <w:tcPr>
            <w:cnfStyle w:val="001000000000"/>
            <w:tcW w:w="2127" w:type="dxa"/>
            <w:hideMark/>
          </w:tcPr>
          <w:p w:rsidR="008D778E" w:rsidRDefault="008D778E">
            <w:pPr>
              <w:jc w:val="center"/>
            </w:pPr>
            <w:r>
              <w:t xml:space="preserve">Indikator: </w:t>
            </w:r>
          </w:p>
          <w:p w:rsidR="008D778E" w:rsidRDefault="008D778E">
            <w:pPr>
              <w:jc w:val="center"/>
            </w:pPr>
          </w:p>
          <w:p w:rsidR="008D778E" w:rsidRPr="00AA717F" w:rsidRDefault="008D778E">
            <w:pPr>
              <w:jc w:val="center"/>
            </w:pPr>
            <w:r>
              <w:t>Phenolphtha</w:t>
            </w:r>
            <w:r w:rsidR="00A905AF">
              <w:t>lein</w:t>
            </w:r>
            <w:r w:rsidR="00A905AF">
              <w:rPr>
                <w:rStyle w:val="Funotenzeichen"/>
              </w:rPr>
              <w:footnoteReference w:id="4"/>
            </w:r>
          </w:p>
        </w:tc>
        <w:tc>
          <w:tcPr>
            <w:tcW w:w="1217" w:type="dxa"/>
            <w:hideMark/>
          </w:tcPr>
          <w:p w:rsidR="008D778E" w:rsidRDefault="00A905AF">
            <w:pPr>
              <w:jc w:val="center"/>
              <w:cnfStyle w:val="000000100000"/>
              <w:rPr>
                <w:noProof/>
                <w:lang w:eastAsia="de-DE"/>
              </w:rPr>
            </w:pPr>
            <w:r w:rsidRPr="00A905AF">
              <w:rPr>
                <w:noProof/>
                <w:lang w:eastAsia="de-DE"/>
              </w:rPr>
              <w:drawing>
                <wp:inline distT="0" distB="0" distL="0" distR="0">
                  <wp:extent cx="638175" cy="638175"/>
                  <wp:effectExtent l="19050" t="0" r="9525" b="0"/>
                  <wp:docPr id="7" name="Bild 7" descr="http://www.seilnacht.com/Chemie/ghs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eilnacht.com/Chemie/ghs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AF" w:rsidRDefault="00A905AF">
            <w:pPr>
              <w:jc w:val="center"/>
              <w:cnfStyle w:val="000000100000"/>
              <w:rPr>
                <w:noProof/>
                <w:lang w:eastAsia="de-DE"/>
              </w:rPr>
            </w:pPr>
            <w:r w:rsidRPr="00A905AF">
              <w:rPr>
                <w:noProof/>
                <w:lang w:eastAsia="de-DE"/>
              </w:rPr>
              <w:drawing>
                <wp:inline distT="0" distB="0" distL="0" distR="0">
                  <wp:extent cx="666750" cy="666750"/>
                  <wp:effectExtent l="19050" t="0" r="0" b="0"/>
                  <wp:docPr id="16" name="Bild 16" descr="http://www.seilnacht.com/Chemie/ghs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eilnacht.com/Chemie/ghs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05AF" w:rsidRDefault="00A905AF">
            <w:pPr>
              <w:jc w:val="center"/>
              <w:cnfStyle w:val="000000100000"/>
              <w:rPr>
                <w:noProof/>
                <w:lang w:eastAsia="de-DE"/>
              </w:rPr>
            </w:pPr>
            <w:r w:rsidRPr="00A905AF">
              <w:rPr>
                <w:noProof/>
                <w:lang w:eastAsia="de-DE"/>
              </w:rPr>
              <w:drawing>
                <wp:inline distT="0" distB="0" distL="0" distR="0">
                  <wp:extent cx="676275" cy="676275"/>
                  <wp:effectExtent l="19050" t="0" r="9525" b="0"/>
                  <wp:docPr id="19" name="Bild 19" descr="http://www.seilnacht.com/Chemie/ghs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eilnacht.com/Chemie/ghs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hideMark/>
          </w:tcPr>
          <w:p w:rsidR="00A905AF" w:rsidRDefault="00A905AF" w:rsidP="00A905AF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H225</w:t>
            </w:r>
          </w:p>
          <w:p w:rsidR="00A905AF" w:rsidRDefault="00A905AF" w:rsidP="00A905AF">
            <w:pPr>
              <w:cnfStyle w:val="000000100000"/>
              <w:rPr>
                <w:b/>
              </w:rPr>
            </w:pPr>
            <w:r>
              <w:t>Flüssigkeit und Dampf leicht entzündbar</w:t>
            </w:r>
          </w:p>
          <w:p w:rsidR="00A905AF" w:rsidRDefault="00A905AF" w:rsidP="00A905AF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H319</w:t>
            </w:r>
          </w:p>
          <w:p w:rsidR="00A905AF" w:rsidRPr="00A905AF" w:rsidRDefault="00A905AF" w:rsidP="00A905AF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Verursacht schwere Augenreizung</w:t>
            </w:r>
            <w:r w:rsidRPr="004946C1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</w:p>
          <w:p w:rsidR="008D778E" w:rsidRDefault="008D778E" w:rsidP="00A905AF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326" w:type="dxa"/>
            <w:hideMark/>
          </w:tcPr>
          <w:p w:rsidR="00A905AF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 w:rsidRPr="00D53044"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P210</w:t>
            </w:r>
          </w:p>
          <w:p w:rsidR="00D53044" w:rsidRP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Von Hitze, heißen Oberflächen, Funken, offenen Flammen und anderen Zündquellen fernhalten. Nicht rauchen</w:t>
            </w:r>
          </w:p>
          <w:p w:rsidR="00D53044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P241</w:t>
            </w:r>
          </w:p>
          <w:p w:rsidR="00D53044" w:rsidRP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Explosionsgeschützte elektrische Geräte / Lüftungsanlagen </w:t>
            </w:r>
            <w:r>
              <w:t>/ Beleuchtungsanlagen verwenden</w:t>
            </w:r>
          </w:p>
          <w:p w:rsidR="00D53044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P280</w:t>
            </w:r>
          </w:p>
          <w:p w:rsidR="00D53044" w:rsidRP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Schutzhandschuhe/Schutzkleidung/Augenschu</w:t>
            </w:r>
            <w:r>
              <w:lastRenderedPageBreak/>
              <w:t>tz/Gesichtsschutz tragen</w:t>
            </w:r>
          </w:p>
          <w:p w:rsidR="00D53044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P303 + P361 + P353 </w:t>
            </w:r>
          </w:p>
          <w:p w:rsid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t>BEI BERÜHR</w:t>
            </w:r>
            <w:r w:rsidR="00D13F65">
              <w:t>UNG MIT DER HAUT</w:t>
            </w:r>
            <w:r>
              <w:t>: Alle kontaminierten Kleidungsstücke sofort ausziehen. Ha</w:t>
            </w:r>
            <w:r w:rsidR="00D13F65">
              <w:t>ut mit Wasser abwaschen</w:t>
            </w:r>
          </w:p>
          <w:p w:rsidR="00D53044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 xml:space="preserve"> P305 + P351 + P338</w:t>
            </w:r>
          </w:p>
          <w:p w:rsidR="00D53044" w:rsidRP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BEI KONTAKT MIT DEN AUGEN: Einige Minuten lang behutsam mit Wasser spülen. Eventuell vorhandene Kontaktlinsen nach Möglichkeit entfernen. Weiter spülen.</w:t>
            </w:r>
          </w:p>
          <w:p w:rsidR="00D53044" w:rsidRDefault="00D53044" w:rsidP="00A905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de-DE"/>
              </w:rPr>
              <w:t>P501</w:t>
            </w:r>
          </w:p>
          <w:p w:rsidR="00D53044" w:rsidRP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t>Entsorgung des Inhalts den örtlichen / regionalen / nationalen/ internationalen Vorschriften.</w:t>
            </w:r>
          </w:p>
          <w:p w:rsidR="008D778E" w:rsidRDefault="008D778E" w:rsidP="00D53044">
            <w:pPr>
              <w:jc w:val="center"/>
              <w:cnfStyle w:val="000000100000"/>
              <w:rPr>
                <w:b/>
              </w:rPr>
            </w:pPr>
          </w:p>
        </w:tc>
        <w:tc>
          <w:tcPr>
            <w:tcW w:w="2832" w:type="dxa"/>
          </w:tcPr>
          <w:p w:rsidR="00D53044" w:rsidRDefault="00D53044" w:rsidP="00D53044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BA57CD">
              <w:rPr>
                <w:rFonts w:ascii="Calibri" w:eastAsia="Times New Roman" w:hAnsi="Calibri" w:cs="Times New Roman"/>
                <w:color w:val="000000"/>
                <w:lang w:eastAsia="de-DE"/>
              </w:rPr>
              <w:lastRenderedPageBreak/>
              <w:t>Dieses Produkt und sein Behälter sind als gefährlicher Abfall zu entsorgen. Inhalt/Behälter in Übereinstimmung mit den lokalen/regionalen/nationalen/internationalen Vorsc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hriften der Entsorgung zuführen. </w:t>
            </w:r>
            <w:r w:rsidRPr="00BA57CD">
              <w:rPr>
                <w:rFonts w:ascii="Calibri" w:eastAsia="Times New Roman" w:hAnsi="Calibri" w:cs="Times New Roman"/>
                <w:color w:val="000000"/>
                <w:lang w:eastAsia="de-DE"/>
              </w:rPr>
              <w:t>Nicht in die Kanalisation gelangen lassen</w:t>
            </w:r>
          </w:p>
          <w:p w:rsidR="008D778E" w:rsidRDefault="008D778E" w:rsidP="001F7ADC">
            <w:pPr>
              <w:cnfStyle w:val="000000100000"/>
            </w:pPr>
          </w:p>
        </w:tc>
      </w:tr>
    </w:tbl>
    <w:p w:rsidR="00D13F65" w:rsidRDefault="00D13F65" w:rsidP="00D53044">
      <w:pPr>
        <w:spacing w:after="0"/>
      </w:pPr>
    </w:p>
    <w:p w:rsidR="0093277E" w:rsidRPr="00D13F65" w:rsidRDefault="0093277E" w:rsidP="00D53044">
      <w:pPr>
        <w:spacing w:after="0"/>
        <w:rPr>
          <w:b/>
          <w:i/>
        </w:rPr>
      </w:pPr>
      <w:r w:rsidRPr="00D13F65">
        <w:rPr>
          <w:b/>
          <w:i/>
        </w:rPr>
        <w:t>Geräte:</w:t>
      </w:r>
    </w:p>
    <w:p w:rsidR="0093277E" w:rsidRPr="00D53044" w:rsidRDefault="008D778E" w:rsidP="001917FA">
      <w:r w:rsidRPr="00D53044">
        <w:t xml:space="preserve">Bürette, Vollpipette (10ml), </w:t>
      </w:r>
      <w:proofErr w:type="spellStart"/>
      <w:r w:rsidRPr="00D53044">
        <w:t>Pipettierhilfe</w:t>
      </w:r>
      <w:proofErr w:type="spellEnd"/>
      <w:r w:rsidRPr="00D53044">
        <w:t xml:space="preserve">, </w:t>
      </w:r>
      <w:proofErr w:type="spellStart"/>
      <w:r w:rsidRPr="00D53044">
        <w:t>Weithalserlenmeyerkolben</w:t>
      </w:r>
      <w:proofErr w:type="spellEnd"/>
      <w:r w:rsidRPr="00D53044">
        <w:t xml:space="preserve"> (100ml), B</w:t>
      </w:r>
      <w:r w:rsidR="00D13F65">
        <w:t>echerglas (50ml), Schutzbrille</w:t>
      </w:r>
    </w:p>
    <w:p w:rsidR="0093277E" w:rsidRDefault="0093277E" w:rsidP="00D53044">
      <w:pPr>
        <w:spacing w:after="0"/>
        <w:rPr>
          <w:b/>
        </w:rPr>
      </w:pPr>
      <w:r w:rsidRPr="0048495D">
        <w:rPr>
          <w:b/>
          <w:i/>
        </w:rPr>
        <w:t>Aufbau</w:t>
      </w:r>
      <w:r w:rsidRPr="0093277E">
        <w:rPr>
          <w:b/>
        </w:rPr>
        <w:t>:</w:t>
      </w:r>
    </w:p>
    <w:p w:rsidR="00D13F65" w:rsidRDefault="00D13F65" w:rsidP="00D53044">
      <w:pPr>
        <w:spacing w:after="0"/>
        <w:rPr>
          <w:b/>
        </w:rPr>
      </w:pPr>
      <w:r>
        <w:rPr>
          <w:b/>
          <w:noProof/>
          <w:lang w:eastAsia="de-DE"/>
        </w:rPr>
        <w:drawing>
          <wp:inline distT="0" distB="0" distL="0" distR="0">
            <wp:extent cx="3105150" cy="3105150"/>
            <wp:effectExtent l="19050" t="0" r="0" b="0"/>
            <wp:docPr id="8" name="Bild 8" descr="C:\Users\Jette\AppData\Local\Microsoft\Windows\INetCache\Content.Word\13324176_1072972609443597_63001123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tte\AppData\Local\Microsoft\Windows\INetCache\Content.Word\13324176_1072972609443597_630011238_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F65" w:rsidRDefault="00D13F65" w:rsidP="001917FA"/>
    <w:p w:rsidR="00D13F65" w:rsidRDefault="00AF493F" w:rsidP="00D13F65">
      <w:pPr>
        <w:spacing w:after="0"/>
        <w:rPr>
          <w:b/>
        </w:rPr>
      </w:pPr>
      <w:r w:rsidRPr="0048495D">
        <w:rPr>
          <w:b/>
          <w:i/>
        </w:rPr>
        <w:t>Durchführung</w:t>
      </w:r>
      <w:r w:rsidRPr="00AF493F">
        <w:rPr>
          <w:b/>
        </w:rPr>
        <w:t>:</w:t>
      </w:r>
    </w:p>
    <w:p w:rsidR="00E60ED1" w:rsidRPr="00E60ED1" w:rsidRDefault="00E60ED1" w:rsidP="00D13F65">
      <w:pPr>
        <w:spacing w:after="0"/>
      </w:pPr>
      <w:r w:rsidRPr="00E60ED1">
        <w:t xml:space="preserve"> Pipettieren Sie genau 10 ml Essig in den Weithalserlenmeyerkolben, geben Sie noch ca. 20 ml dest. Wasser und 3 Tropfen Phenolphthaleinlösung zu. </w:t>
      </w:r>
    </w:p>
    <w:p w:rsidR="00E60ED1" w:rsidRPr="00E60ED1" w:rsidRDefault="00E60ED1" w:rsidP="00D13F65">
      <w:pPr>
        <w:spacing w:after="0"/>
      </w:pPr>
      <w:r w:rsidRPr="00E60ED1">
        <w:t>Lassen Sie ein wenig Natronlauge durch die Bürette laufen, um eventuell vorhandene Wasserreste oder Staub zu entfernen. Füllen Sie anschließend die Bürette mit etwa 25 ml Natronlauge.</w:t>
      </w:r>
    </w:p>
    <w:p w:rsidR="00E60ED1" w:rsidRPr="00E60ED1" w:rsidRDefault="00E60ED1" w:rsidP="00D13F65">
      <w:pPr>
        <w:spacing w:after="0"/>
      </w:pPr>
      <w:r w:rsidRPr="00E60ED1">
        <w:t xml:space="preserve">Titrieren Sie die Essigprobe unter Umschwenken des Erlenmeyerkolbens mit der Natronlauge bis zur ersten Rotviolettfärbung, die in der gesamten Lösung bestehen bleibt. </w:t>
      </w:r>
    </w:p>
    <w:p w:rsidR="00E60ED1" w:rsidRDefault="00E60ED1" w:rsidP="00D13F65">
      <w:pPr>
        <w:spacing w:after="0"/>
      </w:pPr>
      <w:r w:rsidRPr="00E60ED1">
        <w:t xml:space="preserve">Wiederholen Sie die Titration mit einer zweiten Essigprobe. Wenn sich der Natronlaugeverbrauch der ersten und zweiten Titration um mehr als 0,2 ml unterscheiden, so führen Sie eine dritte Titration durch. </w:t>
      </w:r>
    </w:p>
    <w:p w:rsidR="00E60ED1" w:rsidRPr="00E60ED1" w:rsidRDefault="00E60ED1" w:rsidP="00D13F65">
      <w:pPr>
        <w:spacing w:after="0"/>
        <w:rPr>
          <w:b/>
        </w:rPr>
      </w:pPr>
    </w:p>
    <w:p w:rsidR="00E60ED1" w:rsidRDefault="00E60ED1" w:rsidP="00D13F65">
      <w:pPr>
        <w:spacing w:after="0"/>
        <w:rPr>
          <w:b/>
        </w:rPr>
      </w:pPr>
      <w:r w:rsidRPr="0048495D">
        <w:rPr>
          <w:b/>
          <w:i/>
        </w:rPr>
        <w:t>Beobachtung</w:t>
      </w:r>
      <w:r w:rsidRPr="00E60ED1">
        <w:rPr>
          <w:b/>
        </w:rPr>
        <w:t>:</w:t>
      </w:r>
    </w:p>
    <w:tbl>
      <w:tblPr>
        <w:tblStyle w:val="HellesRaster-Akzent1"/>
        <w:tblW w:w="0" w:type="auto"/>
        <w:tblLook w:val="04A0"/>
      </w:tblPr>
      <w:tblGrid>
        <w:gridCol w:w="4606"/>
        <w:gridCol w:w="4606"/>
      </w:tblGrid>
      <w:tr w:rsidR="0048495D" w:rsidTr="0048495D">
        <w:trPr>
          <w:cnfStyle w:val="100000000000"/>
        </w:trPr>
        <w:tc>
          <w:tcPr>
            <w:cnfStyle w:val="001000000000"/>
            <w:tcW w:w="4606" w:type="dxa"/>
          </w:tcPr>
          <w:p w:rsidR="0048495D" w:rsidRPr="0048495D" w:rsidRDefault="0048495D" w:rsidP="0048495D">
            <w:pPr>
              <w:jc w:val="center"/>
            </w:pPr>
            <w:r w:rsidRPr="0048495D">
              <w:t>Essigprobe</w:t>
            </w:r>
          </w:p>
        </w:tc>
        <w:tc>
          <w:tcPr>
            <w:tcW w:w="4606" w:type="dxa"/>
          </w:tcPr>
          <w:p w:rsidR="0048495D" w:rsidRPr="0048495D" w:rsidRDefault="0048495D" w:rsidP="0048495D">
            <w:pPr>
              <w:jc w:val="center"/>
              <w:cnfStyle w:val="100000000000"/>
            </w:pPr>
            <w:r w:rsidRPr="0048495D">
              <w:t>Farbumschwung bei .. ml Zugabe von Natronlauge  (ungefähr)</w:t>
            </w:r>
          </w:p>
        </w:tc>
      </w:tr>
      <w:tr w:rsidR="0048495D" w:rsidTr="0048495D">
        <w:trPr>
          <w:cnfStyle w:val="000000100000"/>
        </w:trPr>
        <w:tc>
          <w:tcPr>
            <w:cnfStyle w:val="001000000000"/>
            <w:tcW w:w="4606" w:type="dxa"/>
          </w:tcPr>
          <w:p w:rsidR="0048495D" w:rsidRPr="0048495D" w:rsidRDefault="0048495D" w:rsidP="00D13F65">
            <w:r w:rsidRPr="0048495D">
              <w:t>1</w:t>
            </w:r>
          </w:p>
        </w:tc>
        <w:tc>
          <w:tcPr>
            <w:tcW w:w="4606" w:type="dxa"/>
          </w:tcPr>
          <w:p w:rsidR="0048495D" w:rsidRPr="0048495D" w:rsidRDefault="0048495D" w:rsidP="00D13F65">
            <w:pPr>
              <w:cnfStyle w:val="000000100000"/>
            </w:pPr>
            <w:r w:rsidRPr="0048495D">
              <w:t>10 ml</w:t>
            </w:r>
          </w:p>
        </w:tc>
      </w:tr>
      <w:tr w:rsidR="0048495D" w:rsidTr="0048495D">
        <w:trPr>
          <w:cnfStyle w:val="000000010000"/>
        </w:trPr>
        <w:tc>
          <w:tcPr>
            <w:cnfStyle w:val="001000000000"/>
            <w:tcW w:w="4606" w:type="dxa"/>
          </w:tcPr>
          <w:p w:rsidR="0048495D" w:rsidRPr="0048495D" w:rsidRDefault="0048495D" w:rsidP="00D13F65">
            <w:r w:rsidRPr="0048495D">
              <w:t>2</w:t>
            </w:r>
          </w:p>
        </w:tc>
        <w:tc>
          <w:tcPr>
            <w:tcW w:w="4606" w:type="dxa"/>
          </w:tcPr>
          <w:p w:rsidR="0048495D" w:rsidRPr="0048495D" w:rsidRDefault="0048495D" w:rsidP="00D13F65">
            <w:pPr>
              <w:cnfStyle w:val="000000010000"/>
            </w:pPr>
            <w:r w:rsidRPr="0048495D">
              <w:t>8 ml</w:t>
            </w:r>
          </w:p>
        </w:tc>
      </w:tr>
      <w:tr w:rsidR="0048495D" w:rsidTr="0048495D">
        <w:trPr>
          <w:cnfStyle w:val="000000100000"/>
        </w:trPr>
        <w:tc>
          <w:tcPr>
            <w:cnfStyle w:val="001000000000"/>
            <w:tcW w:w="4606" w:type="dxa"/>
          </w:tcPr>
          <w:p w:rsidR="0048495D" w:rsidRPr="0048495D" w:rsidRDefault="0048495D" w:rsidP="00D13F65">
            <w:r w:rsidRPr="0048495D">
              <w:t>3</w:t>
            </w:r>
          </w:p>
        </w:tc>
        <w:tc>
          <w:tcPr>
            <w:tcW w:w="4606" w:type="dxa"/>
          </w:tcPr>
          <w:p w:rsidR="0048495D" w:rsidRPr="0048495D" w:rsidRDefault="0048495D" w:rsidP="00D13F65">
            <w:pPr>
              <w:cnfStyle w:val="000000100000"/>
            </w:pPr>
            <w:r w:rsidRPr="0048495D">
              <w:t>9 ml</w:t>
            </w:r>
          </w:p>
        </w:tc>
      </w:tr>
    </w:tbl>
    <w:p w:rsidR="00E60ED1" w:rsidRDefault="00E60ED1" w:rsidP="00D13F65">
      <w:pPr>
        <w:spacing w:after="0"/>
        <w:rPr>
          <w:b/>
        </w:rPr>
      </w:pPr>
    </w:p>
    <w:p w:rsidR="0048495D" w:rsidRPr="0048495D" w:rsidRDefault="0048495D" w:rsidP="00D13F65">
      <w:pPr>
        <w:spacing w:after="0"/>
        <w:rPr>
          <w:b/>
          <w:i/>
        </w:rPr>
      </w:pPr>
      <w:r w:rsidRPr="0048495D">
        <w:rPr>
          <w:b/>
          <w:i/>
        </w:rPr>
        <w:t>Auswertung:</w:t>
      </w:r>
    </w:p>
    <w:p w:rsidR="0048495D" w:rsidRDefault="0048495D" w:rsidP="00D13F65">
      <w:pPr>
        <w:spacing w:after="0"/>
      </w:pPr>
      <w:r>
        <w:t xml:space="preserve"> Berechnen Sie ...</w:t>
      </w:r>
    </w:p>
    <w:p w:rsidR="0048495D" w:rsidRDefault="0048495D" w:rsidP="00D13F65">
      <w:pPr>
        <w:spacing w:after="0"/>
      </w:pPr>
      <w:r>
        <w:t xml:space="preserve">1)  </w:t>
      </w:r>
      <w:r w:rsidRPr="0048495D">
        <w:rPr>
          <w:u w:val="single"/>
        </w:rPr>
        <w:t xml:space="preserve">die </w:t>
      </w:r>
      <w:proofErr w:type="spellStart"/>
      <w:r w:rsidRPr="0048495D">
        <w:rPr>
          <w:u w:val="single"/>
        </w:rPr>
        <w:t>Stoffmegenkonzentration</w:t>
      </w:r>
      <w:proofErr w:type="spellEnd"/>
      <w:r w:rsidRPr="0048495D">
        <w:rPr>
          <w:u w:val="single"/>
        </w:rPr>
        <w:t xml:space="preserve"> c</w:t>
      </w:r>
      <w:r w:rsidR="006716E1">
        <w:rPr>
          <w:u w:val="single"/>
        </w:rPr>
        <w:t>:</w:t>
      </w:r>
    </w:p>
    <w:p w:rsidR="006716E1" w:rsidRPr="006716E1" w:rsidRDefault="0048495D" w:rsidP="00D13F65">
      <w:pPr>
        <w:spacing w:after="0"/>
        <w:rPr>
          <w:b/>
          <w:u w:val="single"/>
        </w:rPr>
      </w:pPr>
      <w:r w:rsidRPr="006716E1">
        <w:rPr>
          <w:b/>
        </w:rPr>
        <w:t xml:space="preserve">c(S) = </w:t>
      </w:r>
      <w:r w:rsidRPr="006716E1">
        <w:rPr>
          <w:b/>
          <w:u w:val="single"/>
        </w:rPr>
        <w:t>c(B)*</w:t>
      </w:r>
      <w:r w:rsidR="006716E1" w:rsidRPr="006716E1">
        <w:rPr>
          <w:b/>
          <w:u w:val="single"/>
        </w:rPr>
        <w:t>V(B)</w:t>
      </w:r>
      <w:r w:rsidR="006716E1">
        <w:rPr>
          <w:b/>
        </w:rPr>
        <w:t xml:space="preserve">      [</w:t>
      </w:r>
      <w:proofErr w:type="spellStart"/>
      <w:r w:rsidR="006716E1">
        <w:rPr>
          <w:b/>
        </w:rPr>
        <w:t>mol</w:t>
      </w:r>
      <w:proofErr w:type="spellEnd"/>
      <w:r w:rsidR="006716E1">
        <w:rPr>
          <w:b/>
        </w:rPr>
        <w:t>/l]</w:t>
      </w:r>
    </w:p>
    <w:p w:rsidR="006716E1" w:rsidRDefault="006716E1" w:rsidP="00D13F65">
      <w:pPr>
        <w:spacing w:after="0"/>
        <w:rPr>
          <w:b/>
        </w:rPr>
      </w:pPr>
      <w:r w:rsidRPr="006716E1">
        <w:rPr>
          <w:b/>
        </w:rPr>
        <w:t xml:space="preserve">               V(S)</w:t>
      </w:r>
      <w:r>
        <w:rPr>
          <w:b/>
        </w:rPr>
        <w:t xml:space="preserve">          </w:t>
      </w:r>
    </w:p>
    <w:p w:rsidR="006716E1" w:rsidRPr="006716E1" w:rsidRDefault="006716E1" w:rsidP="00D13F65">
      <w:pPr>
        <w:spacing w:after="0"/>
      </w:pPr>
    </w:p>
    <w:p w:rsidR="006716E1" w:rsidRPr="006716E1" w:rsidRDefault="006716E1" w:rsidP="00D13F65">
      <w:pPr>
        <w:spacing w:after="0"/>
      </w:pPr>
      <w:r w:rsidRPr="006716E1">
        <w:t xml:space="preserve">c(CH3COOH) = </w:t>
      </w:r>
      <w:r w:rsidRPr="006716E1">
        <w:rPr>
          <w:u w:val="single"/>
        </w:rPr>
        <w:t xml:space="preserve">1 </w:t>
      </w:r>
      <w:proofErr w:type="spellStart"/>
      <w:r w:rsidRPr="006716E1">
        <w:rPr>
          <w:u w:val="single"/>
        </w:rPr>
        <w:t>mol</w:t>
      </w:r>
      <w:proofErr w:type="spellEnd"/>
      <w:r w:rsidRPr="006716E1">
        <w:rPr>
          <w:u w:val="single"/>
        </w:rPr>
        <w:t xml:space="preserve">/l*8ml </w:t>
      </w:r>
      <w:r w:rsidRPr="006716E1">
        <w:t xml:space="preserve">  = 0,8 </w:t>
      </w:r>
      <w:proofErr w:type="spellStart"/>
      <w:r w:rsidRPr="006716E1">
        <w:t>mol</w:t>
      </w:r>
      <w:proofErr w:type="spellEnd"/>
      <w:r w:rsidRPr="006716E1">
        <w:t>/l</w:t>
      </w:r>
    </w:p>
    <w:p w:rsidR="006716E1" w:rsidRDefault="006716E1" w:rsidP="00D13F65">
      <w:pPr>
        <w:spacing w:after="0"/>
      </w:pPr>
      <w:r w:rsidRPr="006716E1">
        <w:t xml:space="preserve">                                10ml</w:t>
      </w:r>
    </w:p>
    <w:p w:rsidR="006716E1" w:rsidRPr="006716E1" w:rsidRDefault="006716E1" w:rsidP="00D13F65">
      <w:pPr>
        <w:spacing w:after="0"/>
      </w:pPr>
    </w:p>
    <w:p w:rsidR="0048495D" w:rsidRDefault="0048495D" w:rsidP="00D13F65">
      <w:pPr>
        <w:spacing w:after="0"/>
      </w:pPr>
      <w:r>
        <w:t>2)</w:t>
      </w:r>
      <w:r w:rsidRPr="006716E1">
        <w:rPr>
          <w:u w:val="single"/>
        </w:rPr>
        <w:t xml:space="preserve"> den Massenanteil w (gehen Sie für die Berechnung des Massenanteils von einer Dichte des Essigs von 1,006 g/ml aus)</w:t>
      </w:r>
      <w:r w:rsidR="006716E1" w:rsidRPr="006716E1">
        <w:rPr>
          <w:u w:val="single"/>
        </w:rPr>
        <w:t>:</w:t>
      </w:r>
    </w:p>
    <w:p w:rsidR="006716E1" w:rsidRDefault="006716E1" w:rsidP="00D13F65">
      <w:pPr>
        <w:spacing w:after="0"/>
      </w:pPr>
    </w:p>
    <w:p w:rsidR="006716E1" w:rsidRDefault="006716E1" w:rsidP="00D13F65">
      <w:pPr>
        <w:spacing w:after="0"/>
      </w:pPr>
    </w:p>
    <w:p w:rsidR="006716E1" w:rsidRDefault="006716E1" w:rsidP="00D13F65">
      <w:pPr>
        <w:spacing w:after="0"/>
      </w:pPr>
    </w:p>
    <w:p w:rsidR="006716E1" w:rsidRDefault="006716E1" w:rsidP="00D13F65">
      <w:pPr>
        <w:spacing w:after="0"/>
      </w:pPr>
    </w:p>
    <w:p w:rsidR="0048495D" w:rsidRPr="006716E1" w:rsidRDefault="0048495D" w:rsidP="00D13F65">
      <w:pPr>
        <w:spacing w:after="0"/>
        <w:rPr>
          <w:u w:val="single"/>
        </w:rPr>
      </w:pPr>
      <w:r>
        <w:t xml:space="preserve">3) </w:t>
      </w:r>
      <w:r w:rsidRPr="006716E1">
        <w:rPr>
          <w:u w:val="single"/>
        </w:rPr>
        <w:t>Massenkonzentration ß</w:t>
      </w:r>
      <w:r w:rsidR="006716E1" w:rsidRPr="006716E1">
        <w:rPr>
          <w:u w:val="single"/>
        </w:rPr>
        <w:t>:</w:t>
      </w:r>
    </w:p>
    <w:p w:rsidR="006716E1" w:rsidRPr="006716E1" w:rsidRDefault="006716E1" w:rsidP="00D13F65">
      <w:pPr>
        <w:spacing w:after="0"/>
        <w:rPr>
          <w:b/>
        </w:rPr>
      </w:pPr>
      <w:r w:rsidRPr="006716E1">
        <w:rPr>
          <w:b/>
        </w:rPr>
        <w:t xml:space="preserve">ß = c*M   (c= Stoffmengenkonzentration), </w:t>
      </w:r>
      <w:r>
        <w:rPr>
          <w:b/>
        </w:rPr>
        <w:t xml:space="preserve">(M= </w:t>
      </w:r>
      <w:proofErr w:type="spellStart"/>
      <w:r>
        <w:rPr>
          <w:b/>
        </w:rPr>
        <w:t>Molarem</w:t>
      </w:r>
      <w:r w:rsidRPr="006716E1">
        <w:rPr>
          <w:b/>
        </w:rPr>
        <w:t>asse</w:t>
      </w:r>
      <w:proofErr w:type="spellEnd"/>
      <w:r w:rsidRPr="006716E1">
        <w:rPr>
          <w:b/>
        </w:rPr>
        <w:t xml:space="preserve">) </w:t>
      </w:r>
    </w:p>
    <w:p w:rsidR="006716E1" w:rsidRDefault="006716E1" w:rsidP="00D13F65">
      <w:pPr>
        <w:spacing w:after="0"/>
      </w:pPr>
    </w:p>
    <w:p w:rsidR="006716E1" w:rsidRDefault="006716E1" w:rsidP="00D13F65">
      <w:pPr>
        <w:spacing w:after="0"/>
      </w:pPr>
      <w:r>
        <w:t>Essigsäure(CH3COOH) = 60 g/</w:t>
      </w:r>
      <w:proofErr w:type="spellStart"/>
      <w:r>
        <w:t>mol</w:t>
      </w:r>
      <w:proofErr w:type="spellEnd"/>
      <w:r>
        <w:t xml:space="preserve"> (</w:t>
      </w:r>
      <w:proofErr w:type="spellStart"/>
      <w:r>
        <w:t>Molaremasse</w:t>
      </w:r>
      <w:proofErr w:type="spellEnd"/>
      <w:r>
        <w:t>)</w:t>
      </w:r>
    </w:p>
    <w:p w:rsidR="00B910A9" w:rsidRPr="006716E1" w:rsidRDefault="006716E1" w:rsidP="006716E1">
      <w:pPr>
        <w:spacing w:after="0"/>
      </w:pPr>
      <w:r>
        <w:t xml:space="preserve">ß = 0,8 </w:t>
      </w:r>
      <w:proofErr w:type="spellStart"/>
      <w:r>
        <w:t>mol</w:t>
      </w:r>
      <w:proofErr w:type="spellEnd"/>
      <w:r>
        <w:t>/l * 60 g/</w:t>
      </w:r>
      <w:proofErr w:type="spellStart"/>
      <w:r>
        <w:t>mol</w:t>
      </w:r>
      <w:proofErr w:type="spellEnd"/>
      <w:r>
        <w:t xml:space="preserve"> = 48 g/l</w:t>
      </w:r>
    </w:p>
    <w:sectPr w:rsidR="00B910A9" w:rsidRPr="006716E1" w:rsidSect="0063684B">
      <w:headerReference w:type="default" r:id="rId13"/>
      <w:footerReference w:type="default" r:id="rId14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BF2" w:rsidRDefault="00AF1BF2" w:rsidP="001917FA">
      <w:pPr>
        <w:spacing w:after="0" w:line="240" w:lineRule="auto"/>
      </w:pPr>
      <w:r>
        <w:separator/>
      </w:r>
    </w:p>
  </w:endnote>
  <w:endnote w:type="continuationSeparator" w:id="1">
    <w:p w:rsidR="00AF1BF2" w:rsidRDefault="00AF1BF2" w:rsidP="0019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35" w:rsidRPr="00EC17E0" w:rsidRDefault="00181235" w:rsidP="0063684B">
    <w:pPr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BF2" w:rsidRDefault="00AF1BF2" w:rsidP="001917FA">
      <w:pPr>
        <w:spacing w:after="0" w:line="240" w:lineRule="auto"/>
      </w:pPr>
      <w:r>
        <w:separator/>
      </w:r>
    </w:p>
  </w:footnote>
  <w:footnote w:type="continuationSeparator" w:id="1">
    <w:p w:rsidR="00AF1BF2" w:rsidRDefault="00AF1BF2" w:rsidP="001917FA">
      <w:pPr>
        <w:spacing w:after="0" w:line="240" w:lineRule="auto"/>
      </w:pPr>
      <w:r>
        <w:continuationSeparator/>
      </w:r>
    </w:p>
  </w:footnote>
  <w:footnote w:id="2">
    <w:p w:rsidR="008D778E" w:rsidRDefault="008D778E" w:rsidP="008D778E">
      <w:pPr>
        <w:spacing w:after="0" w:line="240" w:lineRule="auto"/>
      </w:pPr>
      <w:r>
        <w:rPr>
          <w:rStyle w:val="Funotenzeichen"/>
        </w:rPr>
        <w:footnoteRef/>
      </w:r>
      <w:r>
        <w:t xml:space="preserve"> Natronlauge H-und P-Sätze: </w:t>
      </w:r>
      <w:hyperlink r:id="rId1" w:history="1">
        <w:r w:rsidRPr="006043DD">
          <w:rPr>
            <w:rStyle w:val="Hyperlink"/>
            <w:u w:val="none"/>
          </w:rPr>
          <w:t>https://www.carlroth.com/downloads/sdb/de/K/SDB_K020_AT_DE.pdf</w:t>
        </w:r>
      </w:hyperlink>
    </w:p>
    <w:p w:rsidR="008D778E" w:rsidRDefault="008D778E" w:rsidP="008D778E">
      <w:pPr>
        <w:spacing w:after="0" w:line="240" w:lineRule="auto"/>
      </w:pPr>
      <w:r>
        <w:t>(</w:t>
      </w:r>
      <w:proofErr w:type="spellStart"/>
      <w:r>
        <w:t>stand</w:t>
      </w:r>
      <w:proofErr w:type="spellEnd"/>
      <w:r>
        <w:t>: 29.05.16)</w:t>
      </w:r>
    </w:p>
  </w:footnote>
  <w:footnote w:id="3">
    <w:p w:rsidR="008D778E" w:rsidRDefault="008D778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8D778E">
        <w:rPr>
          <w:sz w:val="22"/>
          <w:szCs w:val="22"/>
        </w:rPr>
        <w:t xml:space="preserve">Essigsäure H-und P-Sätze: </w:t>
      </w:r>
      <w:hyperlink r:id="rId2" w:history="1">
        <w:r w:rsidRPr="008D778E">
          <w:rPr>
            <w:rStyle w:val="Hyperlink"/>
            <w:sz w:val="22"/>
            <w:szCs w:val="22"/>
          </w:rPr>
          <w:t>http://beta.b2b-trader.de/pline.b2b-trader.de/images/pPool-5556070010-6556-03235/image/109944.pdf</w:t>
        </w:r>
      </w:hyperlink>
      <w:r>
        <w:rPr>
          <w:sz w:val="22"/>
          <w:szCs w:val="22"/>
        </w:rPr>
        <w:t xml:space="preserve"> (stand: 29.05.16)</w:t>
      </w:r>
    </w:p>
  </w:footnote>
  <w:footnote w:id="4">
    <w:p w:rsidR="00A905AF" w:rsidRDefault="00A905A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D53044" w:rsidRPr="00D53044">
        <w:rPr>
          <w:sz w:val="22"/>
          <w:szCs w:val="22"/>
        </w:rPr>
        <w:t>Phenolphthalein H-und P-Sätze:</w:t>
      </w:r>
      <w:r w:rsidR="00D53044">
        <w:t xml:space="preserve"> </w:t>
      </w:r>
      <w:r w:rsidRPr="00D53044">
        <w:rPr>
          <w:sz w:val="22"/>
          <w:szCs w:val="22"/>
        </w:rPr>
        <w:t xml:space="preserve">http://www.sdbl.bkraft.de/03256de.pdf </w:t>
      </w:r>
      <w:r w:rsidR="00D53044">
        <w:rPr>
          <w:sz w:val="22"/>
          <w:szCs w:val="22"/>
        </w:rPr>
        <w:t>(</w:t>
      </w:r>
      <w:proofErr w:type="spellStart"/>
      <w:r w:rsidR="00D53044">
        <w:rPr>
          <w:sz w:val="22"/>
          <w:szCs w:val="22"/>
        </w:rPr>
        <w:t>stand</w:t>
      </w:r>
      <w:proofErr w:type="spellEnd"/>
      <w:r w:rsidR="00D53044">
        <w:rPr>
          <w:sz w:val="22"/>
          <w:szCs w:val="22"/>
        </w:rPr>
        <w:t>: 29.05.16)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FA" w:rsidRDefault="001917FA" w:rsidP="001917FA">
    <w:pPr>
      <w:pStyle w:val="IntensivesAnfhrungszeichen"/>
      <w:ind w:left="0" w:right="0"/>
      <w:jc w:val="center"/>
    </w:pPr>
    <w:r>
      <w:t>Chemie</w:t>
    </w:r>
    <w:r>
      <w:tab/>
    </w:r>
    <w:r>
      <w:tab/>
    </w:r>
    <w:r w:rsidRPr="001917FA">
      <w:rPr>
        <w:sz w:val="40"/>
        <w:szCs w:val="40"/>
      </w:rPr>
      <w:t>Versuchsprotokoll</w:t>
    </w:r>
    <w:r w:rsidR="000A1A46">
      <w:tab/>
      <w:t>30</w:t>
    </w:r>
    <w:r w:rsidR="006716E1">
      <w:t>.05.2016</w:t>
    </w:r>
    <w:r w:rsidR="006716E1">
      <w:br/>
      <w:t xml:space="preserve">Henriette Heerens WG12b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1917FA"/>
    <w:rsid w:val="000A1A46"/>
    <w:rsid w:val="000C4AE5"/>
    <w:rsid w:val="00181235"/>
    <w:rsid w:val="001917FA"/>
    <w:rsid w:val="001F7ADC"/>
    <w:rsid w:val="00260D29"/>
    <w:rsid w:val="00302371"/>
    <w:rsid w:val="00363011"/>
    <w:rsid w:val="003F3163"/>
    <w:rsid w:val="0048495D"/>
    <w:rsid w:val="005F3B35"/>
    <w:rsid w:val="0063684B"/>
    <w:rsid w:val="006716E1"/>
    <w:rsid w:val="008D778E"/>
    <w:rsid w:val="0093277E"/>
    <w:rsid w:val="00A025A2"/>
    <w:rsid w:val="00A905AF"/>
    <w:rsid w:val="00AA717F"/>
    <w:rsid w:val="00AF1BF2"/>
    <w:rsid w:val="00AF493F"/>
    <w:rsid w:val="00B910A9"/>
    <w:rsid w:val="00BF548E"/>
    <w:rsid w:val="00D13F65"/>
    <w:rsid w:val="00D53044"/>
    <w:rsid w:val="00E500C8"/>
    <w:rsid w:val="00E60ED1"/>
    <w:rsid w:val="00EC17E0"/>
    <w:rsid w:val="00FD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3B35"/>
  </w:style>
  <w:style w:type="paragraph" w:styleId="berschrift1">
    <w:name w:val="heading 1"/>
    <w:basedOn w:val="Standard"/>
    <w:next w:val="Standard"/>
    <w:link w:val="berschrift1Zchn"/>
    <w:uiPriority w:val="9"/>
    <w:qFormat/>
    <w:rsid w:val="00191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684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7FA"/>
  </w:style>
  <w:style w:type="paragraph" w:styleId="Fuzeile">
    <w:name w:val="footer"/>
    <w:basedOn w:val="Standard"/>
    <w:link w:val="FuzeileZchn"/>
    <w:uiPriority w:val="99"/>
    <w:unhideWhenUsed/>
    <w:rsid w:val="0019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7FA"/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191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1917FA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684B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table" w:styleId="Tabellengitternetz">
    <w:name w:val="Table Grid"/>
    <w:basedOn w:val="NormaleTabelle"/>
    <w:uiPriority w:val="59"/>
    <w:rsid w:val="00636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Raster-Akzent1">
    <w:name w:val="Light Grid Accent 1"/>
    <w:basedOn w:val="NormaleTabelle"/>
    <w:uiPriority w:val="62"/>
    <w:rsid w:val="006368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8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684B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778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778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77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17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3684B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17FA"/>
  </w:style>
  <w:style w:type="paragraph" w:styleId="Fuzeile">
    <w:name w:val="footer"/>
    <w:basedOn w:val="Standard"/>
    <w:link w:val="FuzeileZchn"/>
    <w:uiPriority w:val="99"/>
    <w:unhideWhenUsed/>
    <w:rsid w:val="00191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17FA"/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17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17FA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91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3684B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table" w:styleId="Tabellenraster">
    <w:name w:val="Table Grid"/>
    <w:basedOn w:val="NormaleTabelle"/>
    <w:uiPriority w:val="59"/>
    <w:rsid w:val="0063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6368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684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36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eta.b2b-trader.de/pline.b2b-trader.de/images/pPool-5556070010-6556-03235/image/109944.pdf" TargetMode="External"/><Relationship Id="rId1" Type="http://schemas.openxmlformats.org/officeDocument/2006/relationships/hyperlink" Target="https://www.carlroth.com/downloads/sdb/de/K/SDB_K020_AT_DE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50610-5658-4337-89C8-FCCDF889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Anna-Katharina Harms</dc:creator>
  <cp:lastModifiedBy>Jette Heerens</cp:lastModifiedBy>
  <cp:revision>2</cp:revision>
  <dcterms:created xsi:type="dcterms:W3CDTF">2016-05-29T12:28:00Z</dcterms:created>
  <dcterms:modified xsi:type="dcterms:W3CDTF">2016-05-29T12:28:00Z</dcterms:modified>
</cp:coreProperties>
</file>