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D9" w:rsidRDefault="000B70D0" w:rsidP="000B70D0">
      <w:pPr>
        <w:jc w:val="center"/>
        <w:rPr>
          <w:b/>
          <w:sz w:val="32"/>
        </w:rPr>
      </w:pPr>
      <w:r w:rsidRPr="000B70D0">
        <w:rPr>
          <w:b/>
          <w:sz w:val="32"/>
        </w:rPr>
        <w:t>„Titration von Salzsäure</w:t>
      </w:r>
      <w:r>
        <w:rPr>
          <w:b/>
          <w:sz w:val="32"/>
        </w:rPr>
        <w:t xml:space="preserve"> mit Natronlauge</w:t>
      </w:r>
      <w:r w:rsidRPr="000B70D0">
        <w:rPr>
          <w:b/>
          <w:sz w:val="32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0B70D0" w:rsidTr="000B70D0">
        <w:tc>
          <w:tcPr>
            <w:tcW w:w="2093" w:type="dxa"/>
          </w:tcPr>
          <w:p w:rsidR="000B70D0" w:rsidRPr="000B70D0" w:rsidRDefault="000B70D0" w:rsidP="000B70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Pr="000B70D0">
              <w:rPr>
                <w:b/>
                <w:sz w:val="24"/>
              </w:rPr>
              <w:t>Geräte:</w:t>
            </w:r>
            <w:r>
              <w:rPr>
                <w:b/>
                <w:sz w:val="24"/>
              </w:rPr>
              <w:br/>
            </w:r>
          </w:p>
        </w:tc>
        <w:tc>
          <w:tcPr>
            <w:tcW w:w="7119" w:type="dxa"/>
          </w:tcPr>
          <w:p w:rsidR="000B70D0" w:rsidRDefault="00FD2CCC" w:rsidP="000B70D0">
            <w:pPr>
              <w:rPr>
                <w:sz w:val="24"/>
              </w:rPr>
            </w:pPr>
            <w:r>
              <w:rPr>
                <w:sz w:val="24"/>
              </w:rPr>
              <w:t>Bürette 50 m</w:t>
            </w:r>
            <w:r w:rsidR="008847C9">
              <w:rPr>
                <w:sz w:val="24"/>
              </w:rPr>
              <w:t xml:space="preserve">l, Erlenmeyerkolben </w:t>
            </w:r>
            <w:r>
              <w:rPr>
                <w:sz w:val="24"/>
              </w:rPr>
              <w:t xml:space="preserve">300 ml, </w:t>
            </w:r>
            <w:r w:rsidR="008847C9">
              <w:rPr>
                <w:sz w:val="24"/>
              </w:rPr>
              <w:t xml:space="preserve">pH-Meter, </w:t>
            </w:r>
            <w:r>
              <w:rPr>
                <w:sz w:val="24"/>
              </w:rPr>
              <w:t>Magnetrührer mit Heizplatte, Messzylinder 100 ml, Rührmagnet, Schutzbrille</w:t>
            </w:r>
          </w:p>
        </w:tc>
      </w:tr>
    </w:tbl>
    <w:p w:rsidR="000B70D0" w:rsidRDefault="000B70D0" w:rsidP="000B70D0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D2CCC" w:rsidTr="00FD2CCC">
        <w:tc>
          <w:tcPr>
            <w:tcW w:w="2093" w:type="dxa"/>
          </w:tcPr>
          <w:p w:rsidR="00FD2CCC" w:rsidRPr="00FD2CCC" w:rsidRDefault="00FD2CCC" w:rsidP="00FD2C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Pr="00FD2CCC">
              <w:rPr>
                <w:b/>
                <w:sz w:val="24"/>
              </w:rPr>
              <w:t>Chemikalien:</w:t>
            </w:r>
            <w:r>
              <w:rPr>
                <w:b/>
                <w:sz w:val="24"/>
              </w:rPr>
              <w:br/>
            </w:r>
          </w:p>
        </w:tc>
        <w:tc>
          <w:tcPr>
            <w:tcW w:w="7119" w:type="dxa"/>
          </w:tcPr>
          <w:p w:rsidR="00FD2CCC" w:rsidRDefault="00FD2CCC" w:rsidP="00FA041C">
            <w:pPr>
              <w:rPr>
                <w:sz w:val="24"/>
              </w:rPr>
            </w:pPr>
            <w:r>
              <w:rPr>
                <w:sz w:val="24"/>
              </w:rPr>
              <w:t>50 ml Natronlauge</w:t>
            </w:r>
            <w:r w:rsidR="00FA041C">
              <w:rPr>
                <w:sz w:val="24"/>
              </w:rPr>
              <w:t xml:space="preserve"> </w:t>
            </w:r>
            <w:r w:rsidR="00FA041C">
              <w:rPr>
                <w:sz w:val="24"/>
              </w:rPr>
              <w:t>(c</w:t>
            </w:r>
            <w:r w:rsidR="00FA041C" w:rsidRPr="00122B3E">
              <w:rPr>
                <w:sz w:val="24"/>
                <w:vertAlign w:val="subscript"/>
              </w:rPr>
              <w:t>0</w:t>
            </w:r>
            <w:r w:rsidR="00FA041C">
              <w:rPr>
                <w:sz w:val="24"/>
              </w:rPr>
              <w:t>=1,0 mol/l</w:t>
            </w:r>
            <w:r>
              <w:rPr>
                <w:sz w:val="24"/>
              </w:rPr>
              <w:t>), 100 ml Salzsäure</w:t>
            </w:r>
            <w:r w:rsidR="00FA041C">
              <w:rPr>
                <w:sz w:val="24"/>
              </w:rPr>
              <w:t xml:space="preserve"> </w:t>
            </w:r>
            <w:r w:rsidR="00FA041C">
              <w:rPr>
                <w:sz w:val="24"/>
              </w:rPr>
              <w:t>(c</w:t>
            </w:r>
            <w:r w:rsidR="00FA041C" w:rsidRPr="00122B3E">
              <w:rPr>
                <w:sz w:val="24"/>
                <w:vertAlign w:val="subscript"/>
              </w:rPr>
              <w:t>0</w:t>
            </w:r>
            <w:r w:rsidR="00FA041C">
              <w:rPr>
                <w:sz w:val="24"/>
              </w:rPr>
              <w:t>=0,1</w:t>
            </w:r>
            <w:r w:rsidR="00FA041C">
              <w:rPr>
                <w:sz w:val="24"/>
              </w:rPr>
              <w:t xml:space="preserve"> mol/l</w:t>
            </w:r>
            <w:r w:rsidR="008847C9">
              <w:rPr>
                <w:sz w:val="24"/>
              </w:rPr>
              <w:t xml:space="preserve">), </w:t>
            </w:r>
            <w:r w:rsidR="008847C9">
              <w:rPr>
                <w:sz w:val="24"/>
              </w:rPr>
              <w:br/>
              <w:t>destilliertes Wasser, Bromthymolblaulösung</w:t>
            </w:r>
          </w:p>
        </w:tc>
      </w:tr>
      <w:tr w:rsidR="00FD2CCC" w:rsidTr="00FD2CCC">
        <w:tc>
          <w:tcPr>
            <w:tcW w:w="2093" w:type="dxa"/>
          </w:tcPr>
          <w:p w:rsidR="00FD2CCC" w:rsidRPr="008847C9" w:rsidRDefault="008847C9" w:rsidP="008847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H- und P</w:t>
            </w:r>
            <w:r w:rsidRPr="008847C9">
              <w:rPr>
                <w:b/>
                <w:sz w:val="24"/>
              </w:rPr>
              <w:t>-Sätze:</w:t>
            </w:r>
            <w:r>
              <w:rPr>
                <w:b/>
                <w:sz w:val="24"/>
              </w:rPr>
              <w:br/>
            </w:r>
            <w:r>
              <w:rPr>
                <w:noProof/>
                <w:sz w:val="24"/>
                <w:lang w:eastAsia="de-DE"/>
              </w:rPr>
              <w:drawing>
                <wp:inline distT="0" distB="0" distL="0" distR="0">
                  <wp:extent cx="481882" cy="892751"/>
                  <wp:effectExtent l="19050" t="0" r="0" b="0"/>
                  <wp:docPr id="4" name="Grafik 0" descr="Salzsä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zsäure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51" cy="895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  <w:lang w:eastAsia="de-DE"/>
              </w:rPr>
              <w:drawing>
                <wp:inline distT="0" distB="0" distL="0" distR="0">
                  <wp:extent cx="497785" cy="911731"/>
                  <wp:effectExtent l="19050" t="0" r="0" b="0"/>
                  <wp:docPr id="5" name="Grafik 4" descr="Natronla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onlaug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39" cy="91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br/>
            </w:r>
          </w:p>
        </w:tc>
        <w:tc>
          <w:tcPr>
            <w:tcW w:w="7119" w:type="dxa"/>
          </w:tcPr>
          <w:p w:rsidR="00FD2CCC" w:rsidRPr="008847C9" w:rsidRDefault="008847C9" w:rsidP="008847C9">
            <w:pPr>
              <w:rPr>
                <w:b/>
                <w:color w:val="FF0000"/>
                <w:sz w:val="24"/>
              </w:rPr>
            </w:pPr>
            <w:r w:rsidRPr="008847C9">
              <w:rPr>
                <w:b/>
                <w:color w:val="FF0000"/>
                <w:sz w:val="24"/>
              </w:rPr>
              <w:t xml:space="preserve">Salzsäure: </w:t>
            </w:r>
            <w:r>
              <w:rPr>
                <w:b/>
                <w:color w:val="FF0000"/>
                <w:sz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8847C9">
              <w:rPr>
                <w:rFonts w:ascii="Arial" w:hAnsi="Arial" w:cs="Arial"/>
                <w:sz w:val="20"/>
                <w:szCs w:val="20"/>
              </w:rPr>
              <w:t>314, 335, 290</w:t>
            </w:r>
            <w:r w:rsidRPr="008847C9">
              <w:rPr>
                <w:sz w:val="20"/>
                <w:szCs w:val="20"/>
              </w:rPr>
              <w:t xml:space="preserve">   </w:t>
            </w:r>
            <w:r w:rsidRPr="008847C9">
              <w:rPr>
                <w:rFonts w:ascii="Arial" w:hAnsi="Arial" w:cs="Arial"/>
                <w:sz w:val="20"/>
                <w:szCs w:val="20"/>
              </w:rPr>
              <w:t>P 260, 280.1-3+7, 301+330+331,</w:t>
            </w:r>
            <w:r w:rsidRPr="008847C9">
              <w:rPr>
                <w:sz w:val="20"/>
                <w:szCs w:val="20"/>
              </w:rPr>
              <w:t xml:space="preserve"> </w:t>
            </w:r>
            <w:r w:rsidRPr="008847C9">
              <w:rPr>
                <w:rFonts w:ascii="Arial" w:hAnsi="Arial" w:cs="Arial"/>
                <w:sz w:val="20"/>
                <w:szCs w:val="20"/>
              </w:rPr>
              <w:t>303+361+353, 305+351+338,</w:t>
            </w:r>
            <w:r w:rsidRPr="008847C9">
              <w:rPr>
                <w:sz w:val="20"/>
                <w:szCs w:val="20"/>
              </w:rPr>
              <w:t xml:space="preserve"> </w:t>
            </w:r>
            <w:r w:rsidRPr="008847C9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847C9">
              <w:rPr>
                <w:rFonts w:ascii="Arial" w:hAnsi="Arial" w:cs="Arial"/>
                <w:b/>
                <w:color w:val="002060"/>
                <w:sz w:val="20"/>
                <w:szCs w:val="20"/>
              </w:rPr>
              <w:t>Natronlauge: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8847C9">
              <w:rPr>
                <w:rFonts w:ascii="Arial" w:hAnsi="Arial" w:cs="Arial"/>
                <w:sz w:val="20"/>
                <w:szCs w:val="20"/>
              </w:rPr>
              <w:t>314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47C9">
              <w:rPr>
                <w:rFonts w:ascii="Arial" w:hAnsi="Arial" w:cs="Arial"/>
                <w:sz w:val="20"/>
                <w:szCs w:val="20"/>
              </w:rPr>
              <w:t>290</w:t>
            </w:r>
            <w:r>
              <w:t xml:space="preserve">  </w:t>
            </w:r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  <w:r w:rsidRPr="008847C9">
              <w:rPr>
                <w:rFonts w:ascii="Arial" w:hAnsi="Arial" w:cs="Arial"/>
                <w:sz w:val="20"/>
                <w:szCs w:val="20"/>
              </w:rPr>
              <w:t>280.1-4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47C9">
              <w:rPr>
                <w:rFonts w:ascii="Arial" w:hAnsi="Arial" w:cs="Arial"/>
                <w:sz w:val="20"/>
                <w:szCs w:val="20"/>
              </w:rPr>
              <w:t>301+330+331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47C9">
              <w:rPr>
                <w:rFonts w:ascii="Arial" w:hAnsi="Arial" w:cs="Arial"/>
                <w:sz w:val="20"/>
                <w:szCs w:val="20"/>
              </w:rPr>
              <w:t>303+361+353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47C9">
              <w:rPr>
                <w:rFonts w:ascii="Arial" w:hAnsi="Arial" w:cs="Arial"/>
                <w:sz w:val="20"/>
                <w:szCs w:val="20"/>
              </w:rPr>
              <w:t>305+351+338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47C9">
              <w:rPr>
                <w:rFonts w:ascii="Arial" w:hAnsi="Arial" w:cs="Arial"/>
                <w:sz w:val="20"/>
                <w:szCs w:val="20"/>
              </w:rPr>
              <w:t>309+310</w:t>
            </w:r>
            <w:r>
              <w:rPr>
                <w:sz w:val="20"/>
                <w:szCs w:val="20"/>
              </w:rPr>
              <w:t>  </w:t>
            </w:r>
            <w:r>
              <w:t> </w:t>
            </w:r>
          </w:p>
        </w:tc>
      </w:tr>
    </w:tbl>
    <w:p w:rsidR="008847C9" w:rsidRPr="000B70D0" w:rsidRDefault="008847C9" w:rsidP="000B70D0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2C8C" w:rsidTr="002A2C8C">
        <w:tc>
          <w:tcPr>
            <w:tcW w:w="9212" w:type="dxa"/>
          </w:tcPr>
          <w:p w:rsidR="002A2C8C" w:rsidRPr="002A2C8C" w:rsidRDefault="002A2C8C" w:rsidP="000B70D0">
            <w:pPr>
              <w:rPr>
                <w:b/>
                <w:sz w:val="24"/>
              </w:rPr>
            </w:pPr>
            <w:r w:rsidRPr="002A2C8C">
              <w:rPr>
                <w:b/>
                <w:sz w:val="24"/>
              </w:rPr>
              <w:t>Aufbau des Experimentes:</w:t>
            </w:r>
          </w:p>
        </w:tc>
      </w:tr>
      <w:tr w:rsidR="002A2C8C" w:rsidTr="002A2C8C">
        <w:tc>
          <w:tcPr>
            <w:tcW w:w="9212" w:type="dxa"/>
          </w:tcPr>
          <w:p w:rsidR="002A2C8C" w:rsidRDefault="002A2C8C" w:rsidP="00CE0C9B">
            <w:pPr>
              <w:rPr>
                <w:sz w:val="24"/>
              </w:rPr>
            </w:pPr>
            <w:r>
              <w:rPr>
                <w:sz w:val="24"/>
              </w:rPr>
              <w:br/>
            </w:r>
            <w:r w:rsidR="00CE0C9B">
              <w:rPr>
                <w:noProof/>
                <w:sz w:val="24"/>
                <w:lang w:eastAsia="de-DE"/>
              </w:rPr>
              <w:drawing>
                <wp:inline distT="0" distB="0" distL="0" distR="0">
                  <wp:extent cx="4273537" cy="3570294"/>
                  <wp:effectExtent l="0" t="342900" r="0" b="334956"/>
                  <wp:docPr id="11" name="Grafik 10" descr="IMG_3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6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88913" cy="358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1EF" w:rsidRDefault="00DC21EF" w:rsidP="00DC21EF">
      <w:pPr>
        <w:rPr>
          <w:b/>
          <w:sz w:val="32"/>
        </w:rPr>
      </w:pPr>
    </w:p>
    <w:p w:rsidR="005C63F1" w:rsidRPr="00DC21EF" w:rsidRDefault="005C63F1" w:rsidP="00DC21EF">
      <w:pPr>
        <w:rPr>
          <w:b/>
          <w:sz w:val="3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2C8C" w:rsidTr="002A2C8C">
        <w:tc>
          <w:tcPr>
            <w:tcW w:w="9212" w:type="dxa"/>
          </w:tcPr>
          <w:p w:rsidR="002A2C8C" w:rsidRPr="002A2C8C" w:rsidRDefault="002A2C8C" w:rsidP="000B70D0">
            <w:pPr>
              <w:rPr>
                <w:b/>
                <w:sz w:val="24"/>
              </w:rPr>
            </w:pPr>
            <w:r w:rsidRPr="002A2C8C">
              <w:rPr>
                <w:b/>
                <w:sz w:val="24"/>
              </w:rPr>
              <w:lastRenderedPageBreak/>
              <w:t>Durchführung:</w:t>
            </w:r>
          </w:p>
        </w:tc>
      </w:tr>
      <w:tr w:rsidR="002A2C8C" w:rsidTr="002A2C8C">
        <w:tc>
          <w:tcPr>
            <w:tcW w:w="9212" w:type="dxa"/>
          </w:tcPr>
          <w:p w:rsidR="002A2C8C" w:rsidRDefault="00345D7B" w:rsidP="00071F17">
            <w:pPr>
              <w:rPr>
                <w:sz w:val="24"/>
              </w:rPr>
            </w:pPr>
            <w:r w:rsidRPr="00345D7B">
              <w:t xml:space="preserve">Bei einer Säure-Base-Titration wird eine Kontrollierte Neutralisation durchgeführt: </w:t>
            </w:r>
            <w:r>
              <w:br/>
            </w:r>
            <w:r w:rsidR="002A2C8C" w:rsidRPr="00345D7B">
              <w:br/>
              <w:t xml:space="preserve">1.) </w:t>
            </w:r>
            <w:r w:rsidR="002A2C8C" w:rsidRPr="00345D7B">
              <w:rPr>
                <w:b/>
              </w:rPr>
              <w:t>50 ml Natronlauge</w:t>
            </w:r>
            <w:r w:rsidR="002A2C8C" w:rsidRPr="00345D7B">
              <w:t xml:space="preserve"> werden in die Bürette eingefüllt</w:t>
            </w:r>
            <w:r w:rsidR="002A2C8C" w:rsidRPr="00345D7B">
              <w:br/>
              <w:t xml:space="preserve">2.) </w:t>
            </w:r>
            <w:r w:rsidR="002A2C8C" w:rsidRPr="00345D7B">
              <w:rPr>
                <w:b/>
              </w:rPr>
              <w:t>100 ml Salzsäure</w:t>
            </w:r>
            <w:r w:rsidR="002A2C8C" w:rsidRPr="00345D7B">
              <w:t xml:space="preserve"> werden in den Erlenmeyerkolben eingefüllt (Hinweis: Um Spritzer zu vermeiden, empfiehlt sich die Verwendung eines Messzylinders)</w:t>
            </w:r>
            <w:r w:rsidR="002A2C8C" w:rsidRPr="00345D7B">
              <w:br/>
              <w:t xml:space="preserve">3.) </w:t>
            </w:r>
            <w:r w:rsidR="002A2C8C" w:rsidRPr="00345D7B">
              <w:rPr>
                <w:b/>
              </w:rPr>
              <w:t>5 – 7 Tropfen Bromthymolblaulösung</w:t>
            </w:r>
            <w:r w:rsidR="002A2C8C" w:rsidRPr="00345D7B">
              <w:t xml:space="preserve"> w</w:t>
            </w:r>
            <w:r w:rsidR="00071F17">
              <w:t>erden der Salzsäure hinzugefügt → die Farbe der Salzsäure schlägt um auf „</w:t>
            </w:r>
            <w:r w:rsidR="00071F17" w:rsidRPr="00071F17">
              <w:rPr>
                <w:b/>
                <w:highlight w:val="yellow"/>
              </w:rPr>
              <w:t>gelb</w:t>
            </w:r>
            <w:r w:rsidR="00071F17">
              <w:t xml:space="preserve">“. </w:t>
            </w:r>
            <w:r w:rsidR="00071F17">
              <w:br/>
              <w:t>4.) Mit einem pH-Meter wird der pH-Wert gemessen und in eine geeignete Tabelle übertragen.</w:t>
            </w:r>
            <w:r w:rsidR="00071F17">
              <w:br/>
              <w:t>5.)</w:t>
            </w:r>
            <w:r w:rsidR="00071F17">
              <w:rPr>
                <w:rFonts w:ascii="Trebuchet MS" w:hAnsi="Trebuchet MS"/>
                <w:sz w:val="19"/>
                <w:szCs w:val="19"/>
              </w:rPr>
              <w:t xml:space="preserve"> Nun werden schrittweise </w:t>
            </w:r>
            <w:r w:rsidR="00071F17" w:rsidRPr="00071F17">
              <w:rPr>
                <w:rFonts w:ascii="Trebuchet MS" w:hAnsi="Trebuchet MS"/>
                <w:b/>
                <w:sz w:val="19"/>
                <w:szCs w:val="19"/>
              </w:rPr>
              <w:t>5 ml Natronlauge</w:t>
            </w:r>
            <w:r w:rsidR="00071F17">
              <w:rPr>
                <w:rFonts w:ascii="Trebuchet MS" w:hAnsi="Trebuchet MS"/>
                <w:sz w:val="19"/>
                <w:szCs w:val="19"/>
              </w:rPr>
              <w:t xml:space="preserve"> mittels einer Bürette, der Salzsäure hinzugefügt. </w:t>
            </w:r>
            <w:r w:rsidR="00071F17">
              <w:rPr>
                <w:rFonts w:ascii="Trebuchet MS" w:hAnsi="Trebuchet MS"/>
                <w:sz w:val="19"/>
                <w:szCs w:val="19"/>
              </w:rPr>
              <w:br/>
              <w:t>Nach jeden 5 ml wird der pH-Wert der Lösung notiert.</w:t>
            </w:r>
            <w:r w:rsidR="00071F17">
              <w:rPr>
                <w:rFonts w:ascii="Trebuchet MS" w:hAnsi="Trebuchet MS"/>
                <w:sz w:val="19"/>
                <w:szCs w:val="19"/>
              </w:rPr>
              <w:br/>
              <w:t>6.) Die Zuführung von jeweils 5 ml Natronlauge erfolgt solange, bis die Lösung ihre Farbe ändert.</w:t>
            </w:r>
            <w:r w:rsidR="002A2C8C">
              <w:rPr>
                <w:sz w:val="24"/>
              </w:rPr>
              <w:br/>
            </w:r>
          </w:p>
        </w:tc>
      </w:tr>
    </w:tbl>
    <w:p w:rsidR="00EF7A65" w:rsidRPr="00EF7A65" w:rsidRDefault="00EF7A65" w:rsidP="00CE0C9B">
      <w:pPr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7A65" w:rsidTr="00EF7A65">
        <w:tc>
          <w:tcPr>
            <w:tcW w:w="9212" w:type="dxa"/>
          </w:tcPr>
          <w:p w:rsidR="00EF7A65" w:rsidRPr="00EF7A65" w:rsidRDefault="00EF7A65" w:rsidP="000B70D0">
            <w:pPr>
              <w:rPr>
                <w:b/>
                <w:sz w:val="24"/>
              </w:rPr>
            </w:pPr>
            <w:r w:rsidRPr="00EF7A65">
              <w:rPr>
                <w:b/>
                <w:sz w:val="24"/>
              </w:rPr>
              <w:t>Beobachtung:</w:t>
            </w:r>
          </w:p>
        </w:tc>
      </w:tr>
      <w:tr w:rsidR="00EF7A65" w:rsidTr="00EF7A65">
        <w:tc>
          <w:tcPr>
            <w:tcW w:w="9212" w:type="dxa"/>
          </w:tcPr>
          <w:p w:rsidR="00EF7A65" w:rsidRPr="00CE0C9B" w:rsidRDefault="00EF7A65" w:rsidP="000B70D0">
            <w:r>
              <w:rPr>
                <w:sz w:val="24"/>
              </w:rPr>
              <w:t>Ausgangssituation:</w:t>
            </w:r>
            <w:r>
              <w:rPr>
                <w:sz w:val="24"/>
              </w:rPr>
              <w:br/>
            </w:r>
            <w:r w:rsidRPr="00EF7A65">
              <w:t>pH-Wert Salzsäure:</w:t>
            </w:r>
            <w:r>
              <w:t xml:space="preserve"> 1,2</w:t>
            </w:r>
            <w:r w:rsidRPr="00EF7A65">
              <w:br/>
              <w:t>pH-Wert Natronlauge:</w:t>
            </w:r>
            <w:r>
              <w:t xml:space="preserve"> 14</w:t>
            </w:r>
          </w:p>
          <w:tbl>
            <w:tblPr>
              <w:tblStyle w:val="HelleListe-Akzent1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2125"/>
              <w:gridCol w:w="2485"/>
              <w:gridCol w:w="2245"/>
            </w:tblGrid>
            <w:tr w:rsidR="00163353" w:rsidTr="00FF01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1" w:type="dxa"/>
                </w:tcPr>
                <w:p w:rsidR="00EF7A65" w:rsidRDefault="00FF0103" w:rsidP="00FF010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  <w:t>ml an Salzsäure</w:t>
                  </w:r>
                </w:p>
              </w:tc>
              <w:tc>
                <w:tcPr>
                  <w:tcW w:w="2125" w:type="dxa"/>
                </w:tcPr>
                <w:p w:rsidR="00EF7A65" w:rsidRDefault="00FF0103" w:rsidP="00FF01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  <w:t>ml an Natronlauge</w:t>
                  </w:r>
                </w:p>
              </w:tc>
              <w:tc>
                <w:tcPr>
                  <w:tcW w:w="2485" w:type="dxa"/>
                </w:tcPr>
                <w:p w:rsidR="00EF7A65" w:rsidRDefault="00FF0103" w:rsidP="00FF01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  <w:t>pH-Wert der Lösung</w:t>
                  </w:r>
                  <w:r>
                    <w:rPr>
                      <w:sz w:val="24"/>
                    </w:rPr>
                    <w:br/>
                  </w:r>
                </w:p>
              </w:tc>
              <w:tc>
                <w:tcPr>
                  <w:tcW w:w="2245" w:type="dxa"/>
                </w:tcPr>
                <w:p w:rsidR="00EF7A65" w:rsidRDefault="00FF0103" w:rsidP="00FF010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  <w:t>Farbe</w:t>
                  </w:r>
                </w:p>
              </w:tc>
            </w:tr>
            <w:tr w:rsidR="00EF7A65" w:rsidTr="00FF01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EF7A65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EF7A65" w:rsidRP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5  ml</w:t>
                  </w:r>
                </w:p>
              </w:tc>
              <w:tc>
                <w:tcPr>
                  <w:tcW w:w="2487" w:type="dxa"/>
                </w:tcPr>
                <w:p w:rsidR="00EF7A65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1,9</w:t>
                  </w:r>
                </w:p>
              </w:tc>
              <w:tc>
                <w:tcPr>
                  <w:tcW w:w="2246" w:type="dxa"/>
                </w:tcPr>
                <w:p w:rsidR="00EF7A65" w:rsidRDefault="00FF0103" w:rsidP="00FF010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  <w:highlight w:val="yellow"/>
                    </w:rPr>
                    <w:t>gelb</w:t>
                  </w:r>
                </w:p>
              </w:tc>
            </w:tr>
            <w:tr w:rsidR="00EF7A65" w:rsidTr="00FF010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EF7A65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EF7A65" w:rsidRP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10 ml</w:t>
                  </w:r>
                </w:p>
              </w:tc>
              <w:tc>
                <w:tcPr>
                  <w:tcW w:w="2487" w:type="dxa"/>
                </w:tcPr>
                <w:p w:rsidR="00EF7A65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10,43</w:t>
                  </w:r>
                </w:p>
              </w:tc>
              <w:tc>
                <w:tcPr>
                  <w:tcW w:w="2246" w:type="dxa"/>
                </w:tcPr>
                <w:p w:rsidR="00EF7A65" w:rsidRDefault="00FF0103" w:rsidP="00FF010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b/>
                      <w:sz w:val="24"/>
                    </w:rPr>
                    <w:t>Farbumschlag</w:t>
                  </w:r>
                  <w:r w:rsidRPr="00FF0103">
                    <w:rPr>
                      <w:b/>
                      <w:sz w:val="24"/>
                    </w:rPr>
                    <w:br/>
                  </w:r>
                  <w:r w:rsidRPr="00FF0103">
                    <w:rPr>
                      <w:sz w:val="24"/>
                      <w:highlight w:val="yellow"/>
                    </w:rPr>
                    <w:t>gelb</w:t>
                  </w:r>
                  <w:r>
                    <w:rPr>
                      <w:sz w:val="24"/>
                    </w:rPr>
                    <w:t xml:space="preserve"> → </w:t>
                  </w:r>
                  <w:r w:rsidRPr="00FF0103">
                    <w:rPr>
                      <w:color w:val="FFFFFF" w:themeColor="background1"/>
                      <w:sz w:val="24"/>
                      <w:highlight w:val="blue"/>
                    </w:rPr>
                    <w:t>blau</w:t>
                  </w:r>
                </w:p>
              </w:tc>
            </w:tr>
            <w:tr w:rsidR="00EF7A65" w:rsidTr="00FF01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EF7A65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EF7A65" w:rsidRP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 xml:space="preserve">15 ml </w:t>
                  </w:r>
                </w:p>
              </w:tc>
              <w:tc>
                <w:tcPr>
                  <w:tcW w:w="2487" w:type="dxa"/>
                </w:tcPr>
                <w:p w:rsidR="00EF7A65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12,35</w:t>
                  </w:r>
                </w:p>
              </w:tc>
              <w:tc>
                <w:tcPr>
                  <w:tcW w:w="2246" w:type="dxa"/>
                </w:tcPr>
                <w:p w:rsidR="00EF7A65" w:rsidRDefault="00FF0103" w:rsidP="00FF010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  <w:tr w:rsidR="00FF0103" w:rsidTr="00FF010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FF0103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FF0103" w:rsidRP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20 ml</w:t>
                  </w:r>
                </w:p>
              </w:tc>
              <w:tc>
                <w:tcPr>
                  <w:tcW w:w="2487" w:type="dxa"/>
                </w:tcPr>
                <w:p w:rsid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12,6</w:t>
                  </w:r>
                </w:p>
              </w:tc>
              <w:tc>
                <w:tcPr>
                  <w:tcW w:w="2246" w:type="dxa"/>
                </w:tcPr>
                <w:p w:rsidR="00FF0103" w:rsidRDefault="00FF0103" w:rsidP="00FF010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  <w:tr w:rsidR="00FF0103" w:rsidTr="00FF01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FF0103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FF0103" w:rsidRP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25 ml</w:t>
                  </w:r>
                </w:p>
              </w:tc>
              <w:tc>
                <w:tcPr>
                  <w:tcW w:w="2487" w:type="dxa"/>
                </w:tcPr>
                <w:p w:rsid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12,75</w:t>
                  </w:r>
                </w:p>
              </w:tc>
              <w:tc>
                <w:tcPr>
                  <w:tcW w:w="2246" w:type="dxa"/>
                </w:tcPr>
                <w:p w:rsidR="00FF0103" w:rsidRDefault="00FF0103" w:rsidP="00FF010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  <w:tr w:rsidR="00FF0103" w:rsidTr="00FF010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FF0103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FF0103" w:rsidRPr="00FF0103" w:rsidRDefault="00FF0103" w:rsidP="00FF0103">
                  <w:pPr>
                    <w:tabs>
                      <w:tab w:val="left" w:pos="839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30 ml</w:t>
                  </w:r>
                </w:p>
              </w:tc>
              <w:tc>
                <w:tcPr>
                  <w:tcW w:w="2487" w:type="dxa"/>
                </w:tcPr>
                <w:p w:rsid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12,80</w:t>
                  </w:r>
                </w:p>
              </w:tc>
              <w:tc>
                <w:tcPr>
                  <w:tcW w:w="2246" w:type="dxa"/>
                </w:tcPr>
                <w:p w:rsidR="00FF0103" w:rsidRDefault="00FF0103" w:rsidP="00FF010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  <w:tr w:rsidR="00FF0103" w:rsidTr="00FF01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FF0103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FF0103" w:rsidRP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35 ml</w:t>
                  </w:r>
                </w:p>
              </w:tc>
              <w:tc>
                <w:tcPr>
                  <w:tcW w:w="2487" w:type="dxa"/>
                </w:tcPr>
                <w:p w:rsid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12,84</w:t>
                  </w:r>
                </w:p>
              </w:tc>
              <w:tc>
                <w:tcPr>
                  <w:tcW w:w="2246" w:type="dxa"/>
                </w:tcPr>
                <w:p w:rsidR="00FF0103" w:rsidRDefault="00FF0103" w:rsidP="00FF010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  <w:tr w:rsidR="00FF0103" w:rsidTr="00FF010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FF0103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FF0103" w:rsidRP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40 ml</w:t>
                  </w:r>
                </w:p>
              </w:tc>
              <w:tc>
                <w:tcPr>
                  <w:tcW w:w="2487" w:type="dxa"/>
                </w:tcPr>
                <w:p w:rsid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12,87</w:t>
                  </w:r>
                </w:p>
              </w:tc>
              <w:tc>
                <w:tcPr>
                  <w:tcW w:w="2246" w:type="dxa"/>
                </w:tcPr>
                <w:p w:rsidR="00FF0103" w:rsidRDefault="00FF0103" w:rsidP="00FF010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  <w:tr w:rsidR="00FF0103" w:rsidTr="00FF01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FF0103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FF0103" w:rsidRP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 xml:space="preserve">45 ml </w:t>
                  </w:r>
                </w:p>
              </w:tc>
              <w:tc>
                <w:tcPr>
                  <w:tcW w:w="2487" w:type="dxa"/>
                </w:tcPr>
                <w:p w:rsidR="00FF0103" w:rsidRDefault="00FF0103" w:rsidP="000B70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12,89</w:t>
                  </w:r>
                </w:p>
              </w:tc>
              <w:tc>
                <w:tcPr>
                  <w:tcW w:w="2246" w:type="dxa"/>
                </w:tcPr>
                <w:p w:rsidR="00FF0103" w:rsidRDefault="00FF0103" w:rsidP="00FF010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  <w:tr w:rsidR="00FF0103" w:rsidTr="00FF010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:rsidR="00FF0103" w:rsidRPr="00FF0103" w:rsidRDefault="00FF0103" w:rsidP="00FF0103">
                  <w:pPr>
                    <w:jc w:val="center"/>
                    <w:rPr>
                      <w:b w:val="0"/>
                      <w:sz w:val="24"/>
                    </w:rPr>
                  </w:pPr>
                  <w:r w:rsidRPr="00FF0103">
                    <w:rPr>
                      <w:b w:val="0"/>
                      <w:sz w:val="24"/>
                    </w:rPr>
                    <w:t>100 ml</w:t>
                  </w:r>
                </w:p>
              </w:tc>
              <w:tc>
                <w:tcPr>
                  <w:tcW w:w="2126" w:type="dxa"/>
                </w:tcPr>
                <w:p w:rsidR="00FF0103" w:rsidRP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FF0103">
                    <w:rPr>
                      <w:sz w:val="24"/>
                    </w:rPr>
                    <w:t>50 ml</w:t>
                  </w:r>
                </w:p>
              </w:tc>
              <w:tc>
                <w:tcPr>
                  <w:tcW w:w="2487" w:type="dxa"/>
                </w:tcPr>
                <w:p w:rsidR="00FF0103" w:rsidRDefault="00FF0103" w:rsidP="000B70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12,91</w:t>
                  </w:r>
                </w:p>
              </w:tc>
              <w:tc>
                <w:tcPr>
                  <w:tcW w:w="2246" w:type="dxa"/>
                </w:tcPr>
                <w:p w:rsidR="00FF0103" w:rsidRDefault="00FF0103" w:rsidP="00FF010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>
                    <w:rPr>
                      <w:sz w:val="24"/>
                    </w:rPr>
                    <w:t>blau</w:t>
                  </w:r>
                </w:p>
              </w:tc>
            </w:tr>
          </w:tbl>
          <w:p w:rsidR="00EF7A65" w:rsidRDefault="00EF7A65" w:rsidP="000B70D0">
            <w:pPr>
              <w:rPr>
                <w:sz w:val="24"/>
              </w:rPr>
            </w:pPr>
          </w:p>
          <w:p w:rsidR="00DC21EF" w:rsidRPr="00DC21EF" w:rsidRDefault="00FF0103" w:rsidP="000B70D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Die Menge an Salzsäure ist konstant bei 100 ml geblieben. Schrittweise wurden 5 ml Natronlauge hinzugegeben. </w:t>
            </w:r>
            <w:r w:rsidR="00163353">
              <w:rPr>
                <w:sz w:val="24"/>
              </w:rPr>
              <w:br/>
            </w:r>
            <w:r>
              <w:rPr>
                <w:sz w:val="24"/>
              </w:rPr>
              <w:t xml:space="preserve">Bei </w:t>
            </w:r>
            <w:r w:rsidRPr="00163353">
              <w:rPr>
                <w:b/>
                <w:sz w:val="24"/>
              </w:rPr>
              <w:t>10 ml Natronlauge</w:t>
            </w:r>
            <w:r>
              <w:rPr>
                <w:sz w:val="24"/>
              </w:rPr>
              <w:t xml:space="preserve"> schlug die </w:t>
            </w:r>
            <w:r w:rsidRPr="00163353">
              <w:rPr>
                <w:sz w:val="24"/>
                <w:highlight w:val="yellow"/>
              </w:rPr>
              <w:t>gelbe</w:t>
            </w:r>
            <w:r>
              <w:rPr>
                <w:sz w:val="24"/>
              </w:rPr>
              <w:t xml:space="preserve"> Farbe nach </w:t>
            </w:r>
            <w:r w:rsidRPr="00163353">
              <w:rPr>
                <w:color w:val="FFFFFF" w:themeColor="background1"/>
                <w:sz w:val="24"/>
                <w:highlight w:val="blue"/>
              </w:rPr>
              <w:t>blau</w:t>
            </w:r>
            <w:r>
              <w:rPr>
                <w:sz w:val="24"/>
              </w:rPr>
              <w:t xml:space="preserve"> um</w:t>
            </w:r>
            <w:r w:rsidR="00163353">
              <w:rPr>
                <w:sz w:val="24"/>
              </w:rPr>
              <w:t>:</w:t>
            </w:r>
            <w:r w:rsidR="00163353">
              <w:rPr>
                <w:sz w:val="24"/>
              </w:rPr>
              <w:br/>
            </w:r>
            <w:r w:rsidR="00163353">
              <w:rPr>
                <w:noProof/>
                <w:sz w:val="24"/>
                <w:lang w:eastAsia="de-DE"/>
              </w:rPr>
              <w:drawing>
                <wp:inline distT="0" distB="0" distL="0" distR="0">
                  <wp:extent cx="1680081" cy="1267833"/>
                  <wp:effectExtent l="0" t="209550" r="0" b="179967"/>
                  <wp:docPr id="8" name="Grafik 7" descr="IMG_3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9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5631" cy="1279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3353" w:rsidRPr="00163353">
              <w:rPr>
                <w:b/>
                <w:sz w:val="144"/>
              </w:rPr>
              <w:t>→</w:t>
            </w:r>
            <w:r w:rsidR="00163353">
              <w:rPr>
                <w:noProof/>
                <w:sz w:val="24"/>
                <w:lang w:eastAsia="de-DE"/>
              </w:rPr>
              <w:drawing>
                <wp:inline distT="0" distB="0" distL="0" distR="0">
                  <wp:extent cx="1693627" cy="1209468"/>
                  <wp:effectExtent l="0" t="247650" r="0" b="219282"/>
                  <wp:docPr id="9" name="Grafik 8" descr="IMG_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9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6009" cy="121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041C">
              <w:rPr>
                <w:b/>
                <w:sz w:val="144"/>
              </w:rPr>
              <w:br/>
            </w:r>
            <w:r w:rsidR="00163353" w:rsidRPr="00163353">
              <w:rPr>
                <w:sz w:val="24"/>
              </w:rPr>
              <w:t xml:space="preserve">Danach hat die Farbe der Lösung sich nicht verändert und ist bei </w:t>
            </w:r>
            <w:r w:rsidR="00163353" w:rsidRPr="00163353">
              <w:rPr>
                <w:color w:val="FFFFFF" w:themeColor="background1"/>
                <w:sz w:val="24"/>
                <w:highlight w:val="blue"/>
              </w:rPr>
              <w:t>blau</w:t>
            </w:r>
            <w:r w:rsidR="00163353" w:rsidRPr="00163353">
              <w:rPr>
                <w:sz w:val="24"/>
              </w:rPr>
              <w:t xml:space="preserve"> geblieben.</w:t>
            </w:r>
          </w:p>
        </w:tc>
      </w:tr>
    </w:tbl>
    <w:p w:rsidR="00CE0C9B" w:rsidRPr="00CE0C9B" w:rsidRDefault="00CE0C9B" w:rsidP="00CE0C9B">
      <w:pPr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2E2" w:rsidTr="009562E2">
        <w:tc>
          <w:tcPr>
            <w:tcW w:w="9212" w:type="dxa"/>
          </w:tcPr>
          <w:p w:rsidR="009562E2" w:rsidRDefault="009562E2" w:rsidP="000B70D0">
            <w:pPr>
              <w:rPr>
                <w:sz w:val="24"/>
              </w:rPr>
            </w:pPr>
            <w:r>
              <w:rPr>
                <w:sz w:val="24"/>
              </w:rPr>
              <w:t>Auswertung:</w:t>
            </w:r>
          </w:p>
        </w:tc>
      </w:tr>
      <w:tr w:rsidR="009562E2" w:rsidTr="009562E2">
        <w:tc>
          <w:tcPr>
            <w:tcW w:w="9212" w:type="dxa"/>
          </w:tcPr>
          <w:p w:rsidR="009562E2" w:rsidRDefault="009562E2" w:rsidP="00D62C43">
            <w:pPr>
              <w:rPr>
                <w:sz w:val="24"/>
              </w:rPr>
            </w:pPr>
            <w:r>
              <w:rPr>
                <w:sz w:val="24"/>
              </w:rPr>
              <w:br/>
            </w:r>
            <w:r w:rsidR="00122B3E">
              <w:rPr>
                <w:noProof/>
                <w:sz w:val="24"/>
                <w:lang w:eastAsia="de-DE"/>
              </w:rPr>
              <w:drawing>
                <wp:inline distT="0" distB="0" distL="0" distR="0">
                  <wp:extent cx="3323646" cy="2910177"/>
                  <wp:effectExtent l="0" t="0" r="0" b="0"/>
                  <wp:docPr id="10" name="Grafik 9" descr="Titrationskurve_sta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rationskurve_stark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161" cy="290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2B3E">
              <w:rPr>
                <w:sz w:val="24"/>
              </w:rPr>
              <w:br/>
              <w:t>Dies ist die Titrationskurve für die Titration von jeweils 100 ml Salzsäure mit (c</w:t>
            </w:r>
            <w:r w:rsidR="00122B3E" w:rsidRPr="00122B3E">
              <w:rPr>
                <w:sz w:val="24"/>
                <w:vertAlign w:val="subscript"/>
              </w:rPr>
              <w:t>0</w:t>
            </w:r>
            <w:r w:rsidR="00FA041C">
              <w:rPr>
                <w:sz w:val="24"/>
              </w:rPr>
              <w:t>=0,1</w:t>
            </w:r>
            <w:r w:rsidR="00122B3E">
              <w:rPr>
                <w:sz w:val="24"/>
              </w:rPr>
              <w:t xml:space="preserve"> mol/l) mit Natronlauge (c</w:t>
            </w:r>
            <w:r w:rsidR="00122B3E" w:rsidRPr="00122B3E">
              <w:rPr>
                <w:sz w:val="24"/>
                <w:vertAlign w:val="subscript"/>
              </w:rPr>
              <w:t>0</w:t>
            </w:r>
            <w:r w:rsidR="00122B3E">
              <w:rPr>
                <w:sz w:val="24"/>
              </w:rPr>
              <w:t>=1,0 mol/l). Be</w:t>
            </w:r>
            <w:r w:rsidR="00525275">
              <w:rPr>
                <w:sz w:val="24"/>
              </w:rPr>
              <w:t>t</w:t>
            </w:r>
            <w:r w:rsidR="00122B3E">
              <w:rPr>
                <w:sz w:val="24"/>
              </w:rPr>
              <w:t xml:space="preserve">rachtet man die </w:t>
            </w:r>
            <w:r w:rsidR="00525275">
              <w:rPr>
                <w:sz w:val="24"/>
              </w:rPr>
              <w:t xml:space="preserve">Titrationskurve, erkennt man, dass der pH-Wert zunächst verhältnismäßig wenig, dann sprunghaft und schließlich wieder weniger stark ansteigt. Der am Ende erreichte pH-Wert entspricht dem der Maßlösung (hier: Natronlauge). Der </w:t>
            </w:r>
            <w:r w:rsidR="00525275" w:rsidRPr="00525275">
              <w:rPr>
                <w:b/>
                <w:sz w:val="24"/>
              </w:rPr>
              <w:t>pH-Sprung</w:t>
            </w:r>
            <w:r w:rsidR="00525275">
              <w:rPr>
                <w:sz w:val="24"/>
              </w:rPr>
              <w:t xml:space="preserve"> liegt bei </w:t>
            </w:r>
            <w:r w:rsidR="00525275" w:rsidRPr="00525275">
              <w:rPr>
                <w:b/>
                <w:sz w:val="24"/>
                <w:highlight w:val="darkGreen"/>
              </w:rPr>
              <w:t>pH-Wert 7</w:t>
            </w:r>
            <w:r w:rsidR="00525275">
              <w:rPr>
                <w:sz w:val="24"/>
              </w:rPr>
              <w:t xml:space="preserve"> und stellt den </w:t>
            </w:r>
            <w:r w:rsidR="00525275" w:rsidRPr="00525275">
              <w:rPr>
                <w:b/>
                <w:sz w:val="24"/>
              </w:rPr>
              <w:t>Wendepunkt der Titrationskurve</w:t>
            </w:r>
            <w:r w:rsidR="00525275">
              <w:rPr>
                <w:sz w:val="24"/>
              </w:rPr>
              <w:t xml:space="preserve"> dar. Dieser Punkt entspricht dem Äquivalenzpunkt der Titration.</w:t>
            </w:r>
            <w:r w:rsidR="00421D6F">
              <w:rPr>
                <w:sz w:val="24"/>
              </w:rPr>
              <w:br/>
              <w:t xml:space="preserve">Der Äquivalenzpunkt ist der Punkt, an dem die Stoffmenge </w:t>
            </w:r>
            <w:r w:rsidR="00421D6F" w:rsidRPr="00421D6F">
              <w:rPr>
                <w:b/>
                <w:i/>
                <w:sz w:val="24"/>
              </w:rPr>
              <w:t>n(OH</w:t>
            </w:r>
            <w:r w:rsidR="00421D6F" w:rsidRPr="00421D6F">
              <w:rPr>
                <w:b/>
                <w:i/>
                <w:sz w:val="24"/>
                <w:vertAlign w:val="superscript"/>
              </w:rPr>
              <w:t>-</w:t>
            </w:r>
            <w:r w:rsidR="00421D6F" w:rsidRPr="00421D6F">
              <w:rPr>
                <w:b/>
                <w:i/>
                <w:sz w:val="24"/>
              </w:rPr>
              <w:t>)</w:t>
            </w:r>
            <w:r w:rsidR="00421D6F">
              <w:rPr>
                <w:sz w:val="24"/>
              </w:rPr>
              <w:t xml:space="preserve"> der </w:t>
            </w:r>
            <w:r w:rsidR="00421D6F" w:rsidRPr="00421D6F">
              <w:rPr>
                <w:b/>
                <w:sz w:val="24"/>
              </w:rPr>
              <w:t>zugegebenen Base</w:t>
            </w:r>
            <w:r w:rsidR="00421D6F">
              <w:rPr>
                <w:sz w:val="24"/>
              </w:rPr>
              <w:t xml:space="preserve"> den gleichen Wert erreicht wie die Stoffmenge </w:t>
            </w:r>
            <w:r w:rsidR="00421D6F" w:rsidRPr="00421D6F">
              <w:rPr>
                <w:b/>
                <w:i/>
                <w:sz w:val="24"/>
              </w:rPr>
              <w:t>n(H</w:t>
            </w:r>
            <w:r w:rsidR="00421D6F" w:rsidRPr="00421D6F">
              <w:rPr>
                <w:b/>
                <w:i/>
                <w:sz w:val="24"/>
                <w:vertAlign w:val="subscript"/>
              </w:rPr>
              <w:t>3</w:t>
            </w:r>
            <w:r w:rsidR="00421D6F" w:rsidRPr="00421D6F">
              <w:rPr>
                <w:b/>
                <w:i/>
                <w:sz w:val="24"/>
              </w:rPr>
              <w:t>O</w:t>
            </w:r>
            <w:r w:rsidR="00421D6F" w:rsidRPr="00421D6F">
              <w:rPr>
                <w:b/>
                <w:i/>
                <w:sz w:val="24"/>
                <w:vertAlign w:val="superscript"/>
              </w:rPr>
              <w:t>+</w:t>
            </w:r>
            <w:r w:rsidR="00421D6F" w:rsidRPr="00421D6F">
              <w:rPr>
                <w:b/>
                <w:i/>
                <w:sz w:val="24"/>
              </w:rPr>
              <w:t>)</w:t>
            </w:r>
            <w:r w:rsidR="00421D6F">
              <w:rPr>
                <w:sz w:val="24"/>
              </w:rPr>
              <w:t xml:space="preserve"> der am Anfang </w:t>
            </w:r>
            <w:r w:rsidR="00421D6F" w:rsidRPr="00421D6F">
              <w:rPr>
                <w:b/>
                <w:sz w:val="24"/>
              </w:rPr>
              <w:t>vorhandenen Säure</w:t>
            </w:r>
            <w:r w:rsidR="00421D6F">
              <w:rPr>
                <w:sz w:val="24"/>
              </w:rPr>
              <w:t>.</w:t>
            </w:r>
            <w:r w:rsidR="00421D6F">
              <w:rPr>
                <w:sz w:val="24"/>
              </w:rPr>
              <w:br/>
              <w:t xml:space="preserve">Dann gilt: </w:t>
            </w:r>
            <w:r w:rsidR="00421D6F" w:rsidRPr="00421D6F">
              <w:rPr>
                <w:b/>
                <w:sz w:val="24"/>
              </w:rPr>
              <w:t>n(H</w:t>
            </w:r>
            <w:r w:rsidR="00421D6F" w:rsidRPr="00421D6F">
              <w:rPr>
                <w:b/>
                <w:sz w:val="24"/>
                <w:vertAlign w:val="subscript"/>
              </w:rPr>
              <w:t>3</w:t>
            </w:r>
            <w:r w:rsidR="00421D6F" w:rsidRPr="00421D6F">
              <w:rPr>
                <w:b/>
                <w:sz w:val="24"/>
              </w:rPr>
              <w:t>O</w:t>
            </w:r>
            <w:r w:rsidR="00421D6F" w:rsidRPr="00421D6F">
              <w:rPr>
                <w:b/>
                <w:sz w:val="24"/>
                <w:vertAlign w:val="superscript"/>
              </w:rPr>
              <w:t>+</w:t>
            </w:r>
            <w:r w:rsidR="00421D6F" w:rsidRPr="00421D6F">
              <w:rPr>
                <w:b/>
                <w:sz w:val="24"/>
              </w:rPr>
              <w:t>) = n(OH</w:t>
            </w:r>
            <w:r w:rsidR="00421D6F" w:rsidRPr="00421D6F">
              <w:rPr>
                <w:b/>
                <w:sz w:val="24"/>
                <w:vertAlign w:val="superscript"/>
              </w:rPr>
              <w:t>-</w:t>
            </w:r>
            <w:r w:rsidR="00421D6F" w:rsidRPr="00421D6F">
              <w:rPr>
                <w:b/>
                <w:sz w:val="24"/>
              </w:rPr>
              <w:t xml:space="preserve">) → sie ist </w:t>
            </w:r>
            <w:r w:rsidR="00421D6F" w:rsidRPr="00421D6F">
              <w:rPr>
                <w:b/>
                <w:color w:val="70AD47" w:themeColor="accent6"/>
                <w:sz w:val="24"/>
                <w:u w:val="single"/>
              </w:rPr>
              <w:t>neutralisiert</w:t>
            </w:r>
            <w:r w:rsidR="00421D6F">
              <w:rPr>
                <w:b/>
                <w:i/>
                <w:sz w:val="24"/>
              </w:rPr>
              <w:br/>
            </w:r>
            <w:r w:rsidR="00525275">
              <w:rPr>
                <w:sz w:val="24"/>
              </w:rPr>
              <w:br/>
            </w:r>
            <w:r w:rsidR="00421D6F">
              <w:rPr>
                <w:sz w:val="24"/>
              </w:rPr>
              <w:br/>
            </w:r>
            <w:r w:rsidR="00421D6F" w:rsidRPr="00421D6F">
              <w:rPr>
                <w:b/>
                <w:sz w:val="24"/>
              </w:rPr>
              <w:t>Chemische Reaktion:</w:t>
            </w:r>
            <w:r w:rsidR="00421D6F">
              <w:rPr>
                <w:sz w:val="24"/>
              </w:rPr>
              <w:br/>
              <w:t>(Neutralisation)</w:t>
            </w:r>
            <w:r w:rsidR="00421D6F">
              <w:rPr>
                <w:sz w:val="24"/>
              </w:rPr>
              <w:br/>
            </w:r>
            <w:r w:rsidR="00421D6F">
              <w:rPr>
                <w:sz w:val="24"/>
              </w:rPr>
              <w:br/>
            </w:r>
            <w:r w:rsidR="00421D6F" w:rsidRPr="00D62C43">
              <w:rPr>
                <w:b/>
                <w:sz w:val="24"/>
              </w:rPr>
              <w:t xml:space="preserve">     </w:t>
            </w:r>
            <w:r w:rsidR="00421D6F" w:rsidRPr="00D62C43">
              <w:rPr>
                <w:b/>
                <w:color w:val="FF0000"/>
                <w:sz w:val="24"/>
              </w:rPr>
              <w:t>HCL</w:t>
            </w:r>
            <w:r w:rsidR="00421D6F" w:rsidRPr="00D62C43">
              <w:rPr>
                <w:b/>
                <w:sz w:val="24"/>
              </w:rPr>
              <w:t xml:space="preserve">      + </w:t>
            </w:r>
            <w:r w:rsidR="00421D6F" w:rsidRPr="00D62C43">
              <w:rPr>
                <w:b/>
                <w:color w:val="4472C4" w:themeColor="accent5"/>
                <w:sz w:val="24"/>
              </w:rPr>
              <w:t>NaOH</w:t>
            </w:r>
            <w:r w:rsidR="00421D6F" w:rsidRPr="00D62C43">
              <w:rPr>
                <w:b/>
                <w:sz w:val="24"/>
              </w:rPr>
              <w:t xml:space="preserve">             → </w:t>
            </w:r>
            <w:r w:rsidR="00421D6F" w:rsidRPr="00D62C43">
              <w:rPr>
                <w:b/>
                <w:color w:val="7030A0"/>
                <w:sz w:val="24"/>
              </w:rPr>
              <w:t>NaCL</w:t>
            </w:r>
            <w:r w:rsidR="00421D6F" w:rsidRPr="00D62C43">
              <w:rPr>
                <w:b/>
                <w:sz w:val="24"/>
              </w:rPr>
              <w:t xml:space="preserve">                   + H</w:t>
            </w:r>
            <w:r w:rsidR="00421D6F" w:rsidRPr="00D62C43">
              <w:rPr>
                <w:b/>
                <w:sz w:val="24"/>
                <w:vertAlign w:val="subscript"/>
              </w:rPr>
              <w:t>2</w:t>
            </w:r>
            <w:r w:rsidR="00421D6F" w:rsidRPr="00D62C43">
              <w:rPr>
                <w:b/>
                <w:sz w:val="24"/>
              </w:rPr>
              <w:t>0        / exo.</w:t>
            </w:r>
            <w:r w:rsidR="00421D6F" w:rsidRPr="00D62C43">
              <w:rPr>
                <w:b/>
                <w:sz w:val="24"/>
              </w:rPr>
              <w:br/>
            </w:r>
            <w:r w:rsidRPr="00D62C43">
              <w:rPr>
                <w:b/>
                <w:sz w:val="24"/>
              </w:rPr>
              <w:br/>
            </w:r>
            <w:r w:rsidR="00421D6F" w:rsidRPr="00D62C43">
              <w:rPr>
                <w:b/>
                <w:color w:val="FF0000"/>
                <w:sz w:val="24"/>
              </w:rPr>
              <w:t>Salzsäure</w:t>
            </w:r>
            <w:r w:rsidR="00421D6F" w:rsidRPr="00D62C43">
              <w:rPr>
                <w:b/>
                <w:sz w:val="24"/>
              </w:rPr>
              <w:t xml:space="preserve"> + </w:t>
            </w:r>
            <w:r w:rsidR="00421D6F" w:rsidRPr="00D62C43">
              <w:rPr>
                <w:b/>
                <w:color w:val="4472C4" w:themeColor="accent5"/>
                <w:sz w:val="24"/>
              </w:rPr>
              <w:t>Natronlauge</w:t>
            </w:r>
            <w:r w:rsidR="00421D6F" w:rsidRPr="00D62C43">
              <w:rPr>
                <w:b/>
                <w:sz w:val="24"/>
              </w:rPr>
              <w:t xml:space="preserve"> → </w:t>
            </w:r>
            <w:r w:rsidR="00421D6F" w:rsidRPr="00D62C43">
              <w:rPr>
                <w:b/>
                <w:color w:val="7030A0"/>
                <w:sz w:val="24"/>
              </w:rPr>
              <w:t>Natriumchlorid</w:t>
            </w:r>
            <w:r w:rsidR="00421D6F" w:rsidRPr="00D62C43">
              <w:rPr>
                <w:b/>
                <w:sz w:val="24"/>
              </w:rPr>
              <w:t xml:space="preserve"> + Wasser / exo.</w:t>
            </w:r>
            <w:r w:rsidR="00D62C43" w:rsidRPr="00D62C43">
              <w:rPr>
                <w:b/>
                <w:sz w:val="24"/>
              </w:rPr>
              <w:br/>
            </w:r>
            <w:r w:rsidR="00D62C43">
              <w:rPr>
                <w:sz w:val="24"/>
              </w:rPr>
              <w:br/>
            </w:r>
            <w:r w:rsidR="00D62C43" w:rsidRPr="00D62C43">
              <w:rPr>
                <w:b/>
                <w:sz w:val="24"/>
              </w:rPr>
              <w:t>Allgemeine Formel:</w:t>
            </w:r>
            <w:r w:rsidR="00D62C43">
              <w:rPr>
                <w:b/>
                <w:sz w:val="24"/>
              </w:rPr>
              <w:br/>
            </w:r>
            <w:r w:rsidR="00D62C43">
              <w:rPr>
                <w:sz w:val="24"/>
              </w:rPr>
              <w:br/>
            </w:r>
            <w:r w:rsidR="00D62C43" w:rsidRPr="00D62C43">
              <w:rPr>
                <w:b/>
                <w:color w:val="FF0000"/>
                <w:sz w:val="24"/>
              </w:rPr>
              <w:t>Säure</w:t>
            </w:r>
            <w:r w:rsidR="00D62C43" w:rsidRPr="00D62C43">
              <w:rPr>
                <w:b/>
                <w:sz w:val="24"/>
              </w:rPr>
              <w:t xml:space="preserve"> + </w:t>
            </w:r>
            <w:r w:rsidR="00D62C43">
              <w:rPr>
                <w:b/>
                <w:sz w:val="24"/>
              </w:rPr>
              <w:t xml:space="preserve"> </w:t>
            </w:r>
            <w:r w:rsidR="00D62C43" w:rsidRPr="00D62C43">
              <w:rPr>
                <w:b/>
                <w:color w:val="4472C4" w:themeColor="accent5"/>
                <w:sz w:val="24"/>
              </w:rPr>
              <w:t>Lauge</w:t>
            </w:r>
            <w:r w:rsidR="00D62C43" w:rsidRPr="00D62C43">
              <w:rPr>
                <w:b/>
                <w:sz w:val="24"/>
              </w:rPr>
              <w:t xml:space="preserve"> → </w:t>
            </w:r>
            <w:r w:rsidR="00D62C43" w:rsidRPr="00D62C43">
              <w:rPr>
                <w:b/>
                <w:color w:val="7030A0"/>
                <w:sz w:val="24"/>
              </w:rPr>
              <w:t>Salz</w:t>
            </w:r>
            <w:r w:rsidR="00D62C43" w:rsidRPr="00D62C43">
              <w:rPr>
                <w:b/>
                <w:sz w:val="24"/>
              </w:rPr>
              <w:t xml:space="preserve"> + Wasser / exo. </w:t>
            </w:r>
          </w:p>
        </w:tc>
      </w:tr>
    </w:tbl>
    <w:p w:rsidR="00163353" w:rsidRDefault="00163353" w:rsidP="000B70D0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2C43" w:rsidTr="00D62C43">
        <w:tc>
          <w:tcPr>
            <w:tcW w:w="9212" w:type="dxa"/>
          </w:tcPr>
          <w:p w:rsidR="00D62C43" w:rsidRPr="00D62C43" w:rsidRDefault="00D62C43" w:rsidP="000B70D0">
            <w:pPr>
              <w:rPr>
                <w:b/>
                <w:sz w:val="24"/>
              </w:rPr>
            </w:pPr>
            <w:r w:rsidRPr="00D62C43">
              <w:rPr>
                <w:b/>
                <w:sz w:val="24"/>
              </w:rPr>
              <w:t>Entsorgung:</w:t>
            </w:r>
          </w:p>
        </w:tc>
      </w:tr>
      <w:tr w:rsidR="00D62C43" w:rsidTr="00D62C43">
        <w:tc>
          <w:tcPr>
            <w:tcW w:w="9212" w:type="dxa"/>
          </w:tcPr>
          <w:p w:rsidR="00D62C43" w:rsidRDefault="00CE0C9B" w:rsidP="000B70D0">
            <w:pPr>
              <w:rPr>
                <w:sz w:val="24"/>
              </w:rPr>
            </w:pPr>
            <w:r>
              <w:rPr>
                <w:sz w:val="24"/>
              </w:rPr>
              <w:t xml:space="preserve">Die Lösung ist </w:t>
            </w:r>
            <w:r w:rsidRPr="00CE0C9B">
              <w:rPr>
                <w:b/>
                <w:sz w:val="24"/>
              </w:rPr>
              <w:t>neutralisiert</w:t>
            </w:r>
            <w:r>
              <w:rPr>
                <w:sz w:val="24"/>
              </w:rPr>
              <w:t xml:space="preserve"> worden und kann im Ausguss entsorgt werden.</w:t>
            </w:r>
          </w:p>
        </w:tc>
      </w:tr>
    </w:tbl>
    <w:p w:rsidR="00163353" w:rsidRPr="000B70D0" w:rsidRDefault="00163353" w:rsidP="000B70D0">
      <w:pPr>
        <w:rPr>
          <w:sz w:val="24"/>
        </w:rPr>
      </w:pPr>
    </w:p>
    <w:sectPr w:rsidR="00163353" w:rsidRPr="000B70D0" w:rsidSect="007331C3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D0" w:rsidRDefault="000B70D0" w:rsidP="000B70D0">
      <w:pPr>
        <w:spacing w:after="0" w:line="240" w:lineRule="auto"/>
      </w:pPr>
      <w:r>
        <w:separator/>
      </w:r>
    </w:p>
  </w:endnote>
  <w:endnote w:type="continuationSeparator" w:id="0">
    <w:p w:rsidR="000B70D0" w:rsidRDefault="000B70D0" w:rsidP="000B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D0" w:rsidRDefault="000B70D0" w:rsidP="000B70D0">
      <w:pPr>
        <w:spacing w:after="0" w:line="240" w:lineRule="auto"/>
      </w:pPr>
      <w:r>
        <w:separator/>
      </w:r>
    </w:p>
  </w:footnote>
  <w:footnote w:type="continuationSeparator" w:id="0">
    <w:p w:rsidR="000B70D0" w:rsidRDefault="000B70D0" w:rsidP="000B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212"/>
    </w:tblGrid>
    <w:tr w:rsidR="000B70D0" w:rsidTr="000B70D0">
      <w:tc>
        <w:tcPr>
          <w:tcW w:w="9212" w:type="dxa"/>
        </w:tcPr>
        <w:p w:rsidR="000B70D0" w:rsidRPr="000B70D0" w:rsidRDefault="000B70D0">
          <w:pPr>
            <w:pStyle w:val="Kopfzeile"/>
            <w:rPr>
              <w:b/>
              <w:sz w:val="24"/>
            </w:rPr>
          </w:pPr>
          <w:r w:rsidRPr="000B70D0">
            <w:rPr>
              <w:b/>
              <w:sz w:val="24"/>
            </w:rPr>
            <w:t>Titration von Salzsäure</w:t>
          </w:r>
          <w:r>
            <w:rPr>
              <w:b/>
              <w:sz w:val="24"/>
            </w:rPr>
            <w:t xml:space="preserve"> mit Natronlauge                                                       Datum:</w:t>
          </w:r>
          <w:r w:rsidRPr="000B70D0">
            <w:rPr>
              <w:sz w:val="24"/>
            </w:rPr>
            <w:t>17.05.2015</w:t>
          </w:r>
        </w:p>
      </w:tc>
    </w:tr>
    <w:tr w:rsidR="000B70D0" w:rsidTr="000B70D0">
      <w:tc>
        <w:tcPr>
          <w:tcW w:w="9212" w:type="dxa"/>
        </w:tcPr>
        <w:p w:rsidR="000B70D0" w:rsidRPr="000B70D0" w:rsidRDefault="000B70D0">
          <w:pPr>
            <w:pStyle w:val="Kopfzeile"/>
            <w:rPr>
              <w:sz w:val="24"/>
            </w:rPr>
          </w:pPr>
          <w:r w:rsidRPr="000B70D0">
            <w:rPr>
              <w:b/>
              <w:sz w:val="24"/>
            </w:rPr>
            <w:t>Protokollant</w:t>
          </w:r>
          <w:r w:rsidR="005C63F1">
            <w:rPr>
              <w:b/>
              <w:sz w:val="24"/>
            </w:rPr>
            <w:t>in</w:t>
          </w:r>
          <w:r w:rsidRPr="000B70D0">
            <w:rPr>
              <w:b/>
              <w:sz w:val="24"/>
            </w:rPr>
            <w:t>:</w:t>
          </w:r>
          <w:r w:rsidRPr="000B70D0">
            <w:rPr>
              <w:sz w:val="24"/>
            </w:rPr>
            <w:t xml:space="preserve"> Dahlia Khamis</w:t>
          </w:r>
          <w:r>
            <w:rPr>
              <w:sz w:val="24"/>
            </w:rPr>
            <w:t xml:space="preserve">                                      </w:t>
          </w:r>
          <w:r w:rsidR="005C63F1">
            <w:rPr>
              <w:sz w:val="24"/>
            </w:rPr>
            <w:t xml:space="preserve">                            </w:t>
          </w:r>
          <w:r>
            <w:rPr>
              <w:sz w:val="24"/>
            </w:rPr>
            <w:t xml:space="preserve">        </w:t>
          </w:r>
          <w:r w:rsidRPr="000B70D0">
            <w:rPr>
              <w:b/>
              <w:sz w:val="24"/>
            </w:rPr>
            <w:t>Klasse:</w:t>
          </w:r>
          <w:r>
            <w:rPr>
              <w:sz w:val="24"/>
            </w:rPr>
            <w:t xml:space="preserve"> WG12c</w:t>
          </w:r>
        </w:p>
      </w:tc>
    </w:tr>
  </w:tbl>
  <w:p w:rsidR="000B70D0" w:rsidRDefault="000B70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0D0"/>
    <w:rsid w:val="000129F2"/>
    <w:rsid w:val="00071F17"/>
    <w:rsid w:val="000B70D0"/>
    <w:rsid w:val="00122B3E"/>
    <w:rsid w:val="00163353"/>
    <w:rsid w:val="002A2C8C"/>
    <w:rsid w:val="002E08A4"/>
    <w:rsid w:val="00345D7B"/>
    <w:rsid w:val="00421D6F"/>
    <w:rsid w:val="00525275"/>
    <w:rsid w:val="005C63F1"/>
    <w:rsid w:val="006D03C4"/>
    <w:rsid w:val="007331C3"/>
    <w:rsid w:val="008847C9"/>
    <w:rsid w:val="009562E2"/>
    <w:rsid w:val="00CE0C9B"/>
    <w:rsid w:val="00D62C43"/>
    <w:rsid w:val="00DC21EF"/>
    <w:rsid w:val="00EF7A65"/>
    <w:rsid w:val="00FA041C"/>
    <w:rsid w:val="00FD2CCC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31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0D0"/>
  </w:style>
  <w:style w:type="paragraph" w:styleId="Fuzeile">
    <w:name w:val="footer"/>
    <w:basedOn w:val="Standard"/>
    <w:link w:val="FuzeileZchn"/>
    <w:uiPriority w:val="99"/>
    <w:unhideWhenUsed/>
    <w:rsid w:val="000B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0D0"/>
  </w:style>
  <w:style w:type="table" w:styleId="Tabellenraster">
    <w:name w:val="Table Grid"/>
    <w:basedOn w:val="NormaleTabelle"/>
    <w:uiPriority w:val="39"/>
    <w:rsid w:val="000B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8847C9"/>
    <w:rPr>
      <w:color w:val="004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7C9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FF0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khamis</dc:creator>
  <cp:lastModifiedBy>template</cp:lastModifiedBy>
  <cp:revision>5</cp:revision>
  <cp:lastPrinted>2015-05-18T09:03:00Z</cp:lastPrinted>
  <dcterms:created xsi:type="dcterms:W3CDTF">2015-05-17T15:32:00Z</dcterms:created>
  <dcterms:modified xsi:type="dcterms:W3CDTF">2015-05-18T09:06:00Z</dcterms:modified>
</cp:coreProperties>
</file>