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CB" w:rsidRDefault="009071B9">
      <w:pPr>
        <w:rPr>
          <w:u w:val="single"/>
        </w:rPr>
      </w:pPr>
      <w:r w:rsidRPr="009071B9">
        <w:rPr>
          <w:u w:val="single"/>
        </w:rPr>
        <w:t>Chemikalien</w:t>
      </w:r>
    </w:p>
    <w:p w:rsidR="009071B9" w:rsidRDefault="009071B9">
      <w:r>
        <w:t xml:space="preserve">Natriumchlorid (c=0,1 </w:t>
      </w:r>
      <w:proofErr w:type="spellStart"/>
      <w:r>
        <w:t>mol</w:t>
      </w:r>
      <w:proofErr w:type="spellEnd"/>
      <w:r>
        <w:t xml:space="preserve">/l), Natriumacetat (c=0,1 </w:t>
      </w:r>
      <w:proofErr w:type="spellStart"/>
      <w:r>
        <w:t>mol</w:t>
      </w:r>
      <w:proofErr w:type="spellEnd"/>
      <w:r>
        <w:t xml:space="preserve">/l), Ammoniumchlorid (c=0,1 </w:t>
      </w:r>
      <w:proofErr w:type="spellStart"/>
      <w:r>
        <w:t>mol</w:t>
      </w:r>
      <w:proofErr w:type="spellEnd"/>
      <w:r>
        <w:t xml:space="preserve">/l), Ammoniumacetat (c=0,1 </w:t>
      </w:r>
      <w:proofErr w:type="spellStart"/>
      <w:r>
        <w:t>mol</w:t>
      </w:r>
      <w:proofErr w:type="spellEnd"/>
      <w:r>
        <w:t xml:space="preserve">/l), Eisen(III)-chlorid (c=0,1 </w:t>
      </w:r>
      <w:proofErr w:type="spellStart"/>
      <w:r>
        <w:t>mol</w:t>
      </w:r>
      <w:proofErr w:type="spellEnd"/>
      <w:r>
        <w:t>/l)</w:t>
      </w:r>
    </w:p>
    <w:p w:rsidR="009071B9" w:rsidRDefault="009071B9"/>
    <w:p w:rsidR="00DF63FC" w:rsidRDefault="009071B9" w:rsidP="00DF63FC">
      <w:r w:rsidRPr="000A3563">
        <w:rPr>
          <w:u w:val="single"/>
        </w:rPr>
        <w:t>H</w:t>
      </w:r>
      <w:r w:rsidR="00643FCE" w:rsidRPr="000A3563">
        <w:rPr>
          <w:u w:val="single"/>
        </w:rPr>
        <w:t xml:space="preserve">- und </w:t>
      </w:r>
      <w:r w:rsidRPr="000A3563">
        <w:rPr>
          <w:u w:val="single"/>
        </w:rPr>
        <w:t>P-Sätze</w:t>
      </w:r>
    </w:p>
    <w:p w:rsidR="009071B9" w:rsidRPr="00DF63FC" w:rsidRDefault="009071B9">
      <w:r w:rsidRPr="00DF63FC">
        <w:t>Ammoniumchlorid</w:t>
      </w:r>
      <w:r w:rsidR="00DF63FC" w:rsidRPr="00DF63FC">
        <w:rPr>
          <w:rFonts w:cs="Helvetica"/>
        </w:rPr>
        <w:t xml:space="preserve"> </w:t>
      </w:r>
      <w:r w:rsidR="00DF63FC" w:rsidRPr="00DF63FC">
        <w:rPr>
          <w:rFonts w:cs="Helvetica"/>
        </w:rPr>
        <w:t xml:space="preserve">H: </w:t>
      </w:r>
      <w:hyperlink r:id="rId9" w:history="1">
        <w:r w:rsidR="00DF63FC" w:rsidRPr="00DF63FC">
          <w:rPr>
            <w:rFonts w:cs="Helvetica"/>
          </w:rPr>
          <w:t>302</w:t>
        </w:r>
      </w:hyperlink>
      <w:r w:rsidR="00DF63FC" w:rsidRPr="00DF63FC">
        <w:rPr>
          <w:rFonts w:cs="Helvetica"/>
        </w:rPr>
        <w:t xml:space="preserve"> ‐ </w:t>
      </w:r>
      <w:hyperlink r:id="rId10" w:history="1">
        <w:r w:rsidR="00DF63FC" w:rsidRPr="00DF63FC">
          <w:rPr>
            <w:rFonts w:cs="Helvetica"/>
          </w:rPr>
          <w:t>319</w:t>
        </w:r>
      </w:hyperlink>
      <w:r w:rsidRPr="00DF63FC">
        <w:t xml:space="preserve"> </w:t>
      </w:r>
      <w:r w:rsidR="00DF63FC" w:rsidRPr="00DF63FC">
        <w:rPr>
          <w:rFonts w:cs="Helvetica"/>
        </w:rPr>
        <w:t xml:space="preserve">P: </w:t>
      </w:r>
      <w:hyperlink r:id="rId11" w:history="1">
        <w:r w:rsidR="00DF63FC" w:rsidRPr="00DF63FC">
          <w:rPr>
            <w:rFonts w:cs="Helvetica"/>
          </w:rPr>
          <w:t>305+351+338</w:t>
        </w:r>
      </w:hyperlink>
    </w:p>
    <w:p w:rsidR="00643FCE" w:rsidRPr="00DF63FC" w:rsidRDefault="00643FCE">
      <w:r w:rsidRPr="00DF63FC">
        <w:t>Eisen(III)-chlorid</w:t>
      </w:r>
      <w:r w:rsidR="00DF63FC" w:rsidRPr="00DF63FC">
        <w:rPr>
          <w:rFonts w:cs="Helvetica"/>
        </w:rPr>
        <w:t xml:space="preserve"> </w:t>
      </w:r>
      <w:r w:rsidR="00DF63FC" w:rsidRPr="00DF63FC">
        <w:rPr>
          <w:rFonts w:cs="Helvetica"/>
        </w:rPr>
        <w:t xml:space="preserve">H: </w:t>
      </w:r>
      <w:hyperlink r:id="rId12" w:history="1">
        <w:r w:rsidR="00DF63FC" w:rsidRPr="00DF63FC">
          <w:rPr>
            <w:rFonts w:cs="Helvetica"/>
          </w:rPr>
          <w:t>302</w:t>
        </w:r>
      </w:hyperlink>
      <w:r w:rsidR="00DF63FC" w:rsidRPr="00DF63FC">
        <w:rPr>
          <w:rFonts w:cs="Helvetica"/>
        </w:rPr>
        <w:t xml:space="preserve"> ‐ </w:t>
      </w:r>
      <w:hyperlink r:id="rId13" w:history="1">
        <w:r w:rsidR="00DF63FC" w:rsidRPr="00DF63FC">
          <w:rPr>
            <w:rFonts w:cs="Helvetica"/>
          </w:rPr>
          <w:t>315</w:t>
        </w:r>
      </w:hyperlink>
      <w:r w:rsidR="00DF63FC" w:rsidRPr="00DF63FC">
        <w:rPr>
          <w:rFonts w:cs="Helvetica"/>
        </w:rPr>
        <w:t xml:space="preserve"> ‐ </w:t>
      </w:r>
      <w:hyperlink r:id="rId14" w:history="1">
        <w:r w:rsidR="00DF63FC" w:rsidRPr="00DF63FC">
          <w:rPr>
            <w:rFonts w:cs="Helvetica"/>
          </w:rPr>
          <w:t>318</w:t>
        </w:r>
      </w:hyperlink>
      <w:r w:rsidR="00DF63FC" w:rsidRPr="00DF63FC">
        <w:rPr>
          <w:rFonts w:cs="Helvetica"/>
        </w:rPr>
        <w:t xml:space="preserve"> ‐ </w:t>
      </w:r>
      <w:hyperlink r:id="rId15" w:history="1">
        <w:r w:rsidR="00DF63FC" w:rsidRPr="00DF63FC">
          <w:rPr>
            <w:rFonts w:cs="Helvetica"/>
          </w:rPr>
          <w:t>317</w:t>
        </w:r>
      </w:hyperlink>
      <w:r w:rsidR="00DF63FC" w:rsidRPr="00DF63FC">
        <w:rPr>
          <w:rFonts w:cs="Helvetica"/>
        </w:rPr>
        <w:t xml:space="preserve"> </w:t>
      </w:r>
      <w:r w:rsidR="00DF63FC" w:rsidRPr="00DF63FC">
        <w:rPr>
          <w:rFonts w:cs="Helvetica"/>
        </w:rPr>
        <w:t xml:space="preserve">P: </w:t>
      </w:r>
      <w:hyperlink r:id="rId16" w:history="1">
        <w:r w:rsidR="00DF63FC" w:rsidRPr="00DF63FC">
          <w:rPr>
            <w:rFonts w:cs="Helvetica"/>
          </w:rPr>
          <w:t>280</w:t>
        </w:r>
      </w:hyperlink>
      <w:r w:rsidR="00DF63FC" w:rsidRPr="00DF63FC">
        <w:rPr>
          <w:rFonts w:cs="Helvetica"/>
        </w:rPr>
        <w:t xml:space="preserve"> ‐ </w:t>
      </w:r>
      <w:hyperlink r:id="rId17" w:history="1">
        <w:r w:rsidR="00DF63FC" w:rsidRPr="00DF63FC">
          <w:rPr>
            <w:rFonts w:cs="Helvetica"/>
          </w:rPr>
          <w:t>301+312</w:t>
        </w:r>
      </w:hyperlink>
      <w:r w:rsidR="00DF63FC" w:rsidRPr="00DF63FC">
        <w:rPr>
          <w:rFonts w:cs="Helvetica"/>
        </w:rPr>
        <w:t xml:space="preserve"> ‐ </w:t>
      </w:r>
      <w:hyperlink r:id="rId18" w:history="1">
        <w:r w:rsidR="00DF63FC" w:rsidRPr="00DF63FC">
          <w:rPr>
            <w:rFonts w:cs="Helvetica"/>
          </w:rPr>
          <w:t>302+352</w:t>
        </w:r>
      </w:hyperlink>
      <w:r w:rsidR="00DF63FC" w:rsidRPr="00DF63FC">
        <w:rPr>
          <w:rFonts w:cs="Helvetica"/>
        </w:rPr>
        <w:t xml:space="preserve"> ‐ </w:t>
      </w:r>
      <w:hyperlink r:id="rId19" w:history="1">
        <w:r w:rsidR="00DF63FC" w:rsidRPr="00DF63FC">
          <w:rPr>
            <w:rFonts w:cs="Helvetica"/>
          </w:rPr>
          <w:t>305+351+338</w:t>
        </w:r>
      </w:hyperlink>
      <w:r w:rsidR="00DF63FC" w:rsidRPr="00DF63FC">
        <w:rPr>
          <w:rFonts w:cs="Helvetica"/>
        </w:rPr>
        <w:t xml:space="preserve"> ‐ </w:t>
      </w:r>
      <w:hyperlink r:id="rId20" w:history="1">
        <w:r w:rsidR="00DF63FC" w:rsidRPr="00DF63FC">
          <w:rPr>
            <w:rFonts w:cs="Helvetica"/>
          </w:rPr>
          <w:t>310</w:t>
        </w:r>
      </w:hyperlink>
      <w:r w:rsidR="00DF63FC" w:rsidRPr="00DF63FC">
        <w:rPr>
          <w:rFonts w:cs="Helvetica"/>
        </w:rPr>
        <w:t xml:space="preserve"> ‐ </w:t>
      </w:r>
      <w:hyperlink r:id="rId21" w:history="1">
        <w:r w:rsidR="00DF63FC" w:rsidRPr="00DF63FC">
          <w:rPr>
            <w:rFonts w:cs="Helvetica"/>
          </w:rPr>
          <w:t>501</w:t>
        </w:r>
      </w:hyperlink>
    </w:p>
    <w:p w:rsidR="00643FCE" w:rsidRDefault="00643FCE">
      <w:r w:rsidRPr="00643FCE">
        <w:t>Da</w:t>
      </w:r>
      <w:r>
        <w:t xml:space="preserve"> wir mit Stoffen mit geringen Konzentrationen arbeiten, sind keine weiteren Schutzmaßnahmen nötig. Die Chemikalien können im Ausguss entsorgt werden.</w:t>
      </w:r>
    </w:p>
    <w:p w:rsidR="00643FCE" w:rsidRPr="00643FCE" w:rsidRDefault="00643FCE"/>
    <w:p w:rsidR="00643FCE" w:rsidRDefault="00643FCE">
      <w:pPr>
        <w:rPr>
          <w:u w:val="single"/>
        </w:rPr>
      </w:pPr>
      <w:r>
        <w:rPr>
          <w:u w:val="single"/>
        </w:rPr>
        <w:t>Geräte</w:t>
      </w:r>
    </w:p>
    <w:p w:rsidR="00643FCE" w:rsidRDefault="00643FCE">
      <w:r>
        <w:t>Bechergläser, pH-Meter</w:t>
      </w:r>
    </w:p>
    <w:p w:rsidR="00643FCE" w:rsidRDefault="00643FCE"/>
    <w:p w:rsidR="00643FCE" w:rsidRDefault="00643FCE">
      <w:pPr>
        <w:rPr>
          <w:u w:val="single"/>
        </w:rPr>
      </w:pPr>
      <w:r w:rsidRPr="00643FCE">
        <w:rPr>
          <w:u w:val="single"/>
        </w:rPr>
        <w:t>Durchführung</w:t>
      </w:r>
    </w:p>
    <w:p w:rsidR="002747EB" w:rsidRDefault="002747EB" w:rsidP="002747EB">
      <w:pPr>
        <w:pStyle w:val="Listenabsatz"/>
        <w:numPr>
          <w:ilvl w:val="0"/>
          <w:numId w:val="2"/>
        </w:numPr>
      </w:pPr>
      <w:r>
        <w:t xml:space="preserve">pH- Wert von </w:t>
      </w:r>
      <w:proofErr w:type="spellStart"/>
      <w:r>
        <w:t>dest</w:t>
      </w:r>
      <w:proofErr w:type="spellEnd"/>
      <w:r>
        <w:t xml:space="preserve">. Wasser messen, um zu überprüfen wie weit er von pH=7 (neutral) abweicht. </w:t>
      </w:r>
    </w:p>
    <w:p w:rsidR="002747EB" w:rsidRDefault="002747EB" w:rsidP="002747EB">
      <w:pPr>
        <w:pStyle w:val="Listenabsatz"/>
      </w:pPr>
      <w:r>
        <w:t>pH (</w:t>
      </w:r>
      <w:proofErr w:type="spellStart"/>
      <w:r>
        <w:t>dest</w:t>
      </w:r>
      <w:proofErr w:type="spellEnd"/>
      <w:r>
        <w:t>. Wasser) = 7,25</w:t>
      </w:r>
    </w:p>
    <w:p w:rsidR="000A3563" w:rsidRPr="002747EB" w:rsidRDefault="000A3563" w:rsidP="002747EB">
      <w:pPr>
        <w:pStyle w:val="Listenabsatz"/>
      </w:pPr>
    </w:p>
    <w:p w:rsidR="00643FCE" w:rsidRDefault="00643FCE" w:rsidP="002747EB">
      <w:pPr>
        <w:pStyle w:val="Listenabsatz"/>
        <w:numPr>
          <w:ilvl w:val="0"/>
          <w:numId w:val="2"/>
        </w:numPr>
      </w:pPr>
      <w:r>
        <w:t>Herstellen einer Lösung mit bestimmter Konzentration</w:t>
      </w:r>
    </w:p>
    <w:p w:rsidR="00643FCE" w:rsidRDefault="00643FCE" w:rsidP="00643FCE">
      <w:pPr>
        <w:pStyle w:val="Listenabsatz"/>
      </w:pPr>
      <w:r>
        <w:t>Bsp.: Wie</w:t>
      </w:r>
      <w:r w:rsidR="002747EB">
        <w:t xml:space="preserve"> viel </w:t>
      </w:r>
      <w:proofErr w:type="spellStart"/>
      <w:r w:rsidR="002747EB">
        <w:t>NaCl</w:t>
      </w:r>
      <w:proofErr w:type="spellEnd"/>
      <w:r w:rsidR="002747EB">
        <w:t xml:space="preserve"> wird benötigt um 0,1l einer Lösung mit c=0,1 </w:t>
      </w:r>
      <w:proofErr w:type="spellStart"/>
      <w:r w:rsidR="002747EB">
        <w:t>mol</w:t>
      </w:r>
      <w:proofErr w:type="spellEnd"/>
      <w:r w:rsidR="002747EB">
        <w:t xml:space="preserve">/l herzustellen? </w:t>
      </w:r>
    </w:p>
    <w:p w:rsidR="002747EB" w:rsidRDefault="002747EB" w:rsidP="00643FCE">
      <w:pPr>
        <w:pStyle w:val="Listenabsatz"/>
      </w:pPr>
    </w:p>
    <w:p w:rsidR="002747EB" w:rsidRDefault="002747EB" w:rsidP="00643FCE">
      <w:pPr>
        <w:pStyle w:val="Listenabsatz"/>
      </w:pPr>
      <w:r>
        <w:t xml:space="preserve">Geg.: V=0,1l; c=0,1 </w:t>
      </w:r>
      <w:proofErr w:type="spellStart"/>
      <w:r>
        <w:t>mol</w:t>
      </w:r>
      <w:proofErr w:type="spellEnd"/>
      <w:r>
        <w:t>/l; M(</w:t>
      </w:r>
      <w:proofErr w:type="spellStart"/>
      <w:r>
        <w:t>NaCl</w:t>
      </w:r>
      <w:proofErr w:type="spellEnd"/>
      <w:r>
        <w:t>)=58,45 g/</w:t>
      </w:r>
      <w:proofErr w:type="spellStart"/>
      <w:r>
        <w:t>mol</w:t>
      </w:r>
      <w:proofErr w:type="spellEnd"/>
    </w:p>
    <w:p w:rsidR="002747EB" w:rsidRDefault="002747EB" w:rsidP="00643FCE">
      <w:pPr>
        <w:pStyle w:val="Listenabsatz"/>
      </w:pPr>
      <w:r>
        <w:t>Ges.: m(</w:t>
      </w:r>
      <w:proofErr w:type="spellStart"/>
      <w:r>
        <w:t>NaCl</w:t>
      </w:r>
      <w:proofErr w:type="spellEnd"/>
      <w:r>
        <w:t>)=?</w:t>
      </w:r>
    </w:p>
    <w:p w:rsidR="002747EB" w:rsidRDefault="002747EB" w:rsidP="00643FCE">
      <w:pPr>
        <w:pStyle w:val="Listenabsatz"/>
      </w:pPr>
      <w:proofErr w:type="spellStart"/>
      <w:r>
        <w:t>Lsg</w:t>
      </w:r>
      <w:proofErr w:type="spellEnd"/>
      <w:r>
        <w:t xml:space="preserve">.: </w:t>
      </w:r>
      <w:r w:rsidRPr="000A3563">
        <w:rPr>
          <w:b/>
        </w:rPr>
        <w:t>m(</w:t>
      </w:r>
      <w:proofErr w:type="spellStart"/>
      <w:r w:rsidRPr="000A3563">
        <w:rPr>
          <w:b/>
        </w:rPr>
        <w:t>NaCL</w:t>
      </w:r>
      <w:proofErr w:type="spellEnd"/>
      <w:r w:rsidRPr="000A3563">
        <w:rPr>
          <w:b/>
        </w:rPr>
        <w:t>)=V(</w:t>
      </w:r>
      <w:proofErr w:type="spellStart"/>
      <w:r w:rsidRPr="000A3563">
        <w:rPr>
          <w:b/>
        </w:rPr>
        <w:t>NaCl</w:t>
      </w:r>
      <w:proofErr w:type="spellEnd"/>
      <w:r w:rsidRPr="000A3563">
        <w:rPr>
          <w:b/>
        </w:rPr>
        <w:t>)*c(</w:t>
      </w:r>
      <w:proofErr w:type="spellStart"/>
      <w:r w:rsidRPr="000A3563">
        <w:rPr>
          <w:b/>
        </w:rPr>
        <w:t>NaCl</w:t>
      </w:r>
      <w:proofErr w:type="spellEnd"/>
      <w:r w:rsidRPr="000A3563">
        <w:rPr>
          <w:b/>
        </w:rPr>
        <w:t>)</w:t>
      </w:r>
    </w:p>
    <w:p w:rsidR="002747EB" w:rsidRDefault="002747EB" w:rsidP="00643FCE">
      <w:pPr>
        <w:pStyle w:val="Listenabsatz"/>
      </w:pPr>
      <w:r>
        <w:t xml:space="preserve">          m(</w:t>
      </w:r>
      <w:proofErr w:type="spellStart"/>
      <w:r>
        <w:t>NaCl</w:t>
      </w:r>
      <w:proofErr w:type="spellEnd"/>
      <w:r>
        <w:t>)=58,45g/</w:t>
      </w:r>
      <w:proofErr w:type="spellStart"/>
      <w:r>
        <w:t>mol</w:t>
      </w:r>
      <w:proofErr w:type="spellEnd"/>
      <w:r>
        <w:t>*0,1l*0,1mol/l</w:t>
      </w:r>
    </w:p>
    <w:p w:rsidR="000A3563" w:rsidRDefault="000A3563" w:rsidP="00643FCE">
      <w:pPr>
        <w:pStyle w:val="Listenabsatz"/>
      </w:pPr>
      <w:r>
        <w:tab/>
      </w:r>
      <w:r>
        <w:tab/>
        <w:t>=0,585g</w:t>
      </w:r>
    </w:p>
    <w:p w:rsidR="000A3563" w:rsidRDefault="000A3563" w:rsidP="00643FCE">
      <w:pPr>
        <w:pStyle w:val="Listenabsatz"/>
      </w:pPr>
    </w:p>
    <w:p w:rsidR="002747EB" w:rsidRDefault="002747EB" w:rsidP="002747EB">
      <w:pPr>
        <w:pStyle w:val="Listenabsatz"/>
        <w:numPr>
          <w:ilvl w:val="0"/>
          <w:numId w:val="2"/>
        </w:numPr>
      </w:pPr>
      <w:r>
        <w:t>Bestimmung des pH-Wertes der Lösungen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178"/>
        <w:gridCol w:w="2127"/>
        <w:gridCol w:w="2101"/>
        <w:gridCol w:w="2156"/>
      </w:tblGrid>
      <w:tr w:rsidR="000A3563" w:rsidTr="000A3563">
        <w:tc>
          <w:tcPr>
            <w:tcW w:w="2301" w:type="dxa"/>
            <w:shd w:val="clear" w:color="auto" w:fill="DBE5F1" w:themeFill="accent1" w:themeFillTint="33"/>
          </w:tcPr>
          <w:p w:rsidR="002747EB" w:rsidRPr="000A3563" w:rsidRDefault="002747EB" w:rsidP="000A3563">
            <w:pPr>
              <w:pStyle w:val="Listenabsatz"/>
              <w:ind w:left="0"/>
              <w:jc w:val="center"/>
              <w:rPr>
                <w:b/>
              </w:rPr>
            </w:pPr>
            <w:proofErr w:type="spellStart"/>
            <w:r w:rsidRPr="000A3563">
              <w:rPr>
                <w:b/>
              </w:rPr>
              <w:t>Stoffbez</w:t>
            </w:r>
            <w:proofErr w:type="spellEnd"/>
            <w:r w:rsidRPr="000A3563">
              <w:rPr>
                <w:b/>
              </w:rPr>
              <w:t>.</w:t>
            </w:r>
          </w:p>
        </w:tc>
        <w:tc>
          <w:tcPr>
            <w:tcW w:w="2301" w:type="dxa"/>
            <w:shd w:val="clear" w:color="auto" w:fill="DBE5F1" w:themeFill="accent1" w:themeFillTint="33"/>
          </w:tcPr>
          <w:p w:rsidR="002747EB" w:rsidRPr="000A3563" w:rsidRDefault="002747EB" w:rsidP="000A3563">
            <w:pPr>
              <w:pStyle w:val="Listenabsatz"/>
              <w:ind w:left="0"/>
              <w:jc w:val="center"/>
              <w:rPr>
                <w:b/>
              </w:rPr>
            </w:pPr>
            <w:r w:rsidRPr="000A3563">
              <w:rPr>
                <w:b/>
              </w:rPr>
              <w:t>M</w:t>
            </w:r>
            <w:r w:rsidR="000A3563" w:rsidRPr="000A3563">
              <w:rPr>
                <w:b/>
              </w:rPr>
              <w:t xml:space="preserve"> in g/</w:t>
            </w:r>
            <w:proofErr w:type="spellStart"/>
            <w:r w:rsidR="000A3563" w:rsidRPr="000A3563">
              <w:rPr>
                <w:b/>
              </w:rPr>
              <w:t>mol</w:t>
            </w:r>
            <w:proofErr w:type="spellEnd"/>
          </w:p>
        </w:tc>
        <w:tc>
          <w:tcPr>
            <w:tcW w:w="2302" w:type="dxa"/>
            <w:shd w:val="clear" w:color="auto" w:fill="DBE5F1" w:themeFill="accent1" w:themeFillTint="33"/>
          </w:tcPr>
          <w:p w:rsidR="002747EB" w:rsidRPr="000A3563" w:rsidRDefault="002747EB" w:rsidP="000A3563">
            <w:pPr>
              <w:pStyle w:val="Listenabsatz"/>
              <w:ind w:left="0"/>
              <w:jc w:val="center"/>
              <w:rPr>
                <w:b/>
              </w:rPr>
            </w:pPr>
            <w:r w:rsidRPr="000A3563">
              <w:rPr>
                <w:b/>
              </w:rPr>
              <w:t>pH</w:t>
            </w:r>
          </w:p>
        </w:tc>
        <w:tc>
          <w:tcPr>
            <w:tcW w:w="2302" w:type="dxa"/>
            <w:shd w:val="clear" w:color="auto" w:fill="DBE5F1" w:themeFill="accent1" w:themeFillTint="33"/>
          </w:tcPr>
          <w:p w:rsidR="002747EB" w:rsidRDefault="002747EB" w:rsidP="00643FCE">
            <w:pPr>
              <w:pStyle w:val="Listenabsatz"/>
              <w:ind w:left="0"/>
            </w:pPr>
          </w:p>
        </w:tc>
      </w:tr>
      <w:tr w:rsidR="000A3563" w:rsidTr="000A3563">
        <w:tc>
          <w:tcPr>
            <w:tcW w:w="2301" w:type="dxa"/>
            <w:shd w:val="clear" w:color="auto" w:fill="DBE5F1" w:themeFill="accent1" w:themeFillTint="33"/>
          </w:tcPr>
          <w:p w:rsidR="002747EB" w:rsidRDefault="000A3563" w:rsidP="00643FCE">
            <w:pPr>
              <w:pStyle w:val="Listenabsatz"/>
              <w:ind w:left="0"/>
            </w:pPr>
            <w:proofErr w:type="spellStart"/>
            <w:r>
              <w:t>NaCl</w:t>
            </w:r>
            <w:proofErr w:type="spellEnd"/>
          </w:p>
        </w:tc>
        <w:tc>
          <w:tcPr>
            <w:tcW w:w="2301" w:type="dxa"/>
          </w:tcPr>
          <w:p w:rsidR="002747EB" w:rsidRDefault="000A3563" w:rsidP="00643FCE">
            <w:pPr>
              <w:pStyle w:val="Listenabsatz"/>
              <w:ind w:left="0"/>
            </w:pPr>
            <w:r>
              <w:t>58,45</w:t>
            </w:r>
          </w:p>
        </w:tc>
        <w:tc>
          <w:tcPr>
            <w:tcW w:w="2302" w:type="dxa"/>
          </w:tcPr>
          <w:p w:rsidR="002747EB" w:rsidRDefault="000A3563" w:rsidP="00643FCE">
            <w:pPr>
              <w:pStyle w:val="Listenabsatz"/>
              <w:ind w:left="0"/>
            </w:pPr>
            <w:r>
              <w:t>7,2</w:t>
            </w:r>
          </w:p>
        </w:tc>
        <w:tc>
          <w:tcPr>
            <w:tcW w:w="2302" w:type="dxa"/>
          </w:tcPr>
          <w:p w:rsidR="002747EB" w:rsidRDefault="000A3563" w:rsidP="00643FCE">
            <w:pPr>
              <w:pStyle w:val="Listenabsatz"/>
              <w:ind w:left="0"/>
            </w:pPr>
            <w:r>
              <w:t>neutral</w:t>
            </w:r>
          </w:p>
        </w:tc>
      </w:tr>
      <w:tr w:rsidR="000A3563" w:rsidTr="000A3563">
        <w:tc>
          <w:tcPr>
            <w:tcW w:w="2301" w:type="dxa"/>
            <w:shd w:val="clear" w:color="auto" w:fill="DBE5F1" w:themeFill="accent1" w:themeFillTint="33"/>
          </w:tcPr>
          <w:p w:rsidR="002747EB" w:rsidRPr="000A3563" w:rsidRDefault="000A3563" w:rsidP="00643FCE">
            <w:pPr>
              <w:pStyle w:val="Listenabsatz"/>
              <w:ind w:left="0"/>
            </w:pPr>
            <w:r>
              <w:t>CH</w:t>
            </w:r>
            <w:r w:rsidRPr="000A3563">
              <w:rPr>
                <w:vertAlign w:val="subscript"/>
              </w:rPr>
              <w:t>3</w:t>
            </w:r>
            <w:r>
              <w:t>CooNa</w:t>
            </w:r>
          </w:p>
        </w:tc>
        <w:tc>
          <w:tcPr>
            <w:tcW w:w="2301" w:type="dxa"/>
          </w:tcPr>
          <w:p w:rsidR="002747EB" w:rsidRDefault="000A3563" w:rsidP="00643FCE">
            <w:pPr>
              <w:pStyle w:val="Listenabsatz"/>
              <w:ind w:left="0"/>
            </w:pPr>
            <w:r>
              <w:t>136</w:t>
            </w:r>
          </w:p>
        </w:tc>
        <w:tc>
          <w:tcPr>
            <w:tcW w:w="2302" w:type="dxa"/>
          </w:tcPr>
          <w:p w:rsidR="002747EB" w:rsidRDefault="000A3563" w:rsidP="00643FCE">
            <w:pPr>
              <w:pStyle w:val="Listenabsatz"/>
              <w:ind w:left="0"/>
            </w:pPr>
            <w:r>
              <w:t>8,2</w:t>
            </w:r>
          </w:p>
        </w:tc>
        <w:tc>
          <w:tcPr>
            <w:tcW w:w="2302" w:type="dxa"/>
          </w:tcPr>
          <w:p w:rsidR="000A3563" w:rsidRDefault="000A3563" w:rsidP="00643FCE">
            <w:pPr>
              <w:pStyle w:val="Listenabsatz"/>
              <w:ind w:left="0"/>
            </w:pPr>
            <w:r>
              <w:t>alkalisch</w:t>
            </w:r>
          </w:p>
        </w:tc>
      </w:tr>
      <w:tr w:rsidR="000A3563" w:rsidTr="000A3563">
        <w:tc>
          <w:tcPr>
            <w:tcW w:w="2301" w:type="dxa"/>
            <w:shd w:val="clear" w:color="auto" w:fill="DBE5F1" w:themeFill="accent1" w:themeFillTint="33"/>
          </w:tcPr>
          <w:p w:rsidR="002747EB" w:rsidRDefault="000A3563" w:rsidP="00643FCE">
            <w:pPr>
              <w:pStyle w:val="Listenabsatz"/>
              <w:ind w:left="0"/>
            </w:pPr>
            <w:r>
              <w:t>NH</w:t>
            </w:r>
            <w:r w:rsidRPr="000A3563">
              <w:rPr>
                <w:vertAlign w:val="subscript"/>
              </w:rPr>
              <w:t>4</w:t>
            </w:r>
            <w:r>
              <w:t>Cl</w:t>
            </w:r>
          </w:p>
        </w:tc>
        <w:tc>
          <w:tcPr>
            <w:tcW w:w="2301" w:type="dxa"/>
          </w:tcPr>
          <w:p w:rsidR="002747EB" w:rsidRDefault="000A3563" w:rsidP="00643FCE">
            <w:pPr>
              <w:pStyle w:val="Listenabsatz"/>
              <w:ind w:left="0"/>
            </w:pPr>
            <w:r>
              <w:t>53,5</w:t>
            </w:r>
          </w:p>
        </w:tc>
        <w:tc>
          <w:tcPr>
            <w:tcW w:w="2302" w:type="dxa"/>
          </w:tcPr>
          <w:p w:rsidR="002747EB" w:rsidRDefault="000A3563" w:rsidP="00643FCE">
            <w:pPr>
              <w:pStyle w:val="Listenabsatz"/>
              <w:ind w:left="0"/>
            </w:pPr>
            <w:r>
              <w:t>6,03</w:t>
            </w:r>
          </w:p>
        </w:tc>
        <w:tc>
          <w:tcPr>
            <w:tcW w:w="2302" w:type="dxa"/>
          </w:tcPr>
          <w:p w:rsidR="002747EB" w:rsidRDefault="000A3563" w:rsidP="00643FCE">
            <w:pPr>
              <w:pStyle w:val="Listenabsatz"/>
              <w:ind w:left="0"/>
            </w:pPr>
            <w:r>
              <w:t>sauer</w:t>
            </w:r>
          </w:p>
        </w:tc>
      </w:tr>
      <w:tr w:rsidR="000A3563" w:rsidTr="000A3563">
        <w:tc>
          <w:tcPr>
            <w:tcW w:w="2301" w:type="dxa"/>
            <w:shd w:val="clear" w:color="auto" w:fill="DBE5F1" w:themeFill="accent1" w:themeFillTint="33"/>
          </w:tcPr>
          <w:p w:rsidR="002747EB" w:rsidRDefault="000A3563" w:rsidP="00643FCE">
            <w:pPr>
              <w:pStyle w:val="Listenabsatz"/>
              <w:ind w:left="0"/>
            </w:pPr>
            <w:r>
              <w:t>Ch</w:t>
            </w:r>
            <w:r w:rsidRPr="000A3563">
              <w:rPr>
                <w:vertAlign w:val="subscript"/>
              </w:rPr>
              <w:t>3</w:t>
            </w:r>
            <w:r>
              <w:t>OONH</w:t>
            </w:r>
            <w:r w:rsidRPr="000A3563">
              <w:rPr>
                <w:vertAlign w:val="subscript"/>
              </w:rPr>
              <w:t>4</w:t>
            </w:r>
          </w:p>
        </w:tc>
        <w:tc>
          <w:tcPr>
            <w:tcW w:w="2301" w:type="dxa"/>
          </w:tcPr>
          <w:p w:rsidR="002747EB" w:rsidRDefault="000A3563" w:rsidP="00643FCE">
            <w:pPr>
              <w:pStyle w:val="Listenabsatz"/>
              <w:ind w:left="0"/>
            </w:pPr>
            <w:r>
              <w:t>77</w:t>
            </w:r>
          </w:p>
        </w:tc>
        <w:tc>
          <w:tcPr>
            <w:tcW w:w="2302" w:type="dxa"/>
          </w:tcPr>
          <w:p w:rsidR="002747EB" w:rsidRDefault="000A3563" w:rsidP="00643FCE">
            <w:pPr>
              <w:pStyle w:val="Listenabsatz"/>
              <w:ind w:left="0"/>
            </w:pPr>
            <w:r>
              <w:t>7,05</w:t>
            </w:r>
          </w:p>
        </w:tc>
        <w:tc>
          <w:tcPr>
            <w:tcW w:w="2302" w:type="dxa"/>
          </w:tcPr>
          <w:p w:rsidR="002747EB" w:rsidRDefault="000A3563" w:rsidP="00643FCE">
            <w:pPr>
              <w:pStyle w:val="Listenabsatz"/>
              <w:ind w:left="0"/>
            </w:pPr>
            <w:r>
              <w:t>neutral</w:t>
            </w:r>
          </w:p>
        </w:tc>
      </w:tr>
      <w:tr w:rsidR="000A3563" w:rsidTr="000A3563">
        <w:tc>
          <w:tcPr>
            <w:tcW w:w="2301" w:type="dxa"/>
            <w:shd w:val="clear" w:color="auto" w:fill="DBE5F1" w:themeFill="accent1" w:themeFillTint="33"/>
          </w:tcPr>
          <w:p w:rsidR="000A3563" w:rsidRDefault="000A3563" w:rsidP="00643FCE">
            <w:pPr>
              <w:pStyle w:val="Listenabsatz"/>
              <w:ind w:left="0"/>
            </w:pPr>
            <w:r>
              <w:t>FeCl</w:t>
            </w:r>
            <w:r w:rsidRPr="000A3563">
              <w:rPr>
                <w:vertAlign w:val="subscript"/>
              </w:rPr>
              <w:t>3</w:t>
            </w:r>
          </w:p>
        </w:tc>
        <w:tc>
          <w:tcPr>
            <w:tcW w:w="2301" w:type="dxa"/>
          </w:tcPr>
          <w:p w:rsidR="000A3563" w:rsidRDefault="000A3563" w:rsidP="00643FCE">
            <w:pPr>
              <w:pStyle w:val="Listenabsatz"/>
              <w:ind w:left="0"/>
            </w:pPr>
            <w:r>
              <w:t>270,2</w:t>
            </w:r>
          </w:p>
        </w:tc>
        <w:tc>
          <w:tcPr>
            <w:tcW w:w="2302" w:type="dxa"/>
          </w:tcPr>
          <w:p w:rsidR="000A3563" w:rsidRDefault="000A3563" w:rsidP="00643FCE">
            <w:pPr>
              <w:pStyle w:val="Listenabsatz"/>
              <w:ind w:left="0"/>
            </w:pPr>
            <w:r>
              <w:t>1,8</w:t>
            </w:r>
          </w:p>
        </w:tc>
        <w:tc>
          <w:tcPr>
            <w:tcW w:w="2302" w:type="dxa"/>
          </w:tcPr>
          <w:p w:rsidR="000A3563" w:rsidRDefault="000A3563" w:rsidP="00643FCE">
            <w:pPr>
              <w:pStyle w:val="Listenabsatz"/>
              <w:ind w:left="0"/>
            </w:pPr>
            <w:r>
              <w:t>sauer</w:t>
            </w:r>
          </w:p>
        </w:tc>
      </w:tr>
    </w:tbl>
    <w:p w:rsidR="002747EB" w:rsidRDefault="002747EB" w:rsidP="00DF63FC"/>
    <w:p w:rsidR="002747EB" w:rsidRDefault="00461C61" w:rsidP="00461C61">
      <w:pPr>
        <w:rPr>
          <w:u w:val="single"/>
        </w:rPr>
      </w:pPr>
      <w:r w:rsidRPr="00461C61">
        <w:rPr>
          <w:u w:val="single"/>
        </w:rPr>
        <w:t>Auswertung</w:t>
      </w:r>
    </w:p>
    <w:p w:rsidR="00461C61" w:rsidRDefault="00461C61" w:rsidP="00461C61">
      <w:r w:rsidRPr="00461C61">
        <w:t>B</w:t>
      </w:r>
      <w:r>
        <w:t xml:space="preserve">ei der Reaktion von einem Salz und einer Lauge erwarten wir eine Neutralisation und so einen pH-Wert um 7. </w:t>
      </w:r>
      <w:r w:rsidRPr="00461C61">
        <w:rPr>
          <w:u w:val="single"/>
        </w:rPr>
        <w:t>Doch:</w:t>
      </w:r>
      <w:r>
        <w:t xml:space="preserve"> </w:t>
      </w:r>
    </w:p>
    <w:p w:rsidR="00461C61" w:rsidRDefault="00461C61" w:rsidP="00461C61">
      <w:pPr>
        <w:pStyle w:val="Listenabsatz"/>
        <w:numPr>
          <w:ilvl w:val="0"/>
          <w:numId w:val="3"/>
        </w:numPr>
      </w:pPr>
      <w:r>
        <w:t>Salze sind selten neutral, sie reagieren auch sauer und alkalisch.</w:t>
      </w:r>
    </w:p>
    <w:p w:rsidR="00461C61" w:rsidRDefault="00461C61" w:rsidP="00461C61">
      <w:pPr>
        <w:pStyle w:val="Listenabsatz"/>
      </w:pPr>
      <w:r>
        <w:t>Bei den Neutralisationsreaktionen reagieren unterschiedlich starke und schwache Laugen und Säuren wodurch auch die entstandenen Salze nicht pH neutral sind.</w:t>
      </w:r>
    </w:p>
    <w:p w:rsidR="00461C61" w:rsidRPr="00461C61" w:rsidRDefault="00461C61" w:rsidP="00461C61">
      <w:pPr>
        <w:pStyle w:val="Listenabsatz"/>
      </w:pPr>
      <w:r>
        <w:t xml:space="preserve">Bsp.: Essigsäure + Natronlauge -&gt; </w:t>
      </w:r>
      <w:r w:rsidR="00DF63FC">
        <w:t>alkalisch</w:t>
      </w:r>
    </w:p>
    <w:p w:rsidR="00461C61" w:rsidRDefault="00461C61" w:rsidP="00461C61">
      <w:pPr>
        <w:pStyle w:val="Listenabsatz"/>
        <w:rPr>
          <w:color w:val="943634" w:themeColor="accent2" w:themeShade="BF"/>
          <w:sz w:val="22"/>
        </w:rPr>
      </w:pPr>
      <w:r w:rsidRPr="00461C61">
        <w:rPr>
          <w:color w:val="943634" w:themeColor="accent2" w:themeShade="BF"/>
        </w:rPr>
        <w:t xml:space="preserve">    (</w:t>
      </w:r>
      <w:r w:rsidR="00DF63FC">
        <w:rPr>
          <w:color w:val="943634" w:themeColor="accent2" w:themeShade="BF"/>
          <w:sz w:val="22"/>
        </w:rPr>
        <w:t>s</w:t>
      </w:r>
      <w:r w:rsidRPr="00461C61">
        <w:rPr>
          <w:color w:val="943634" w:themeColor="accent2" w:themeShade="BF"/>
          <w:sz w:val="22"/>
        </w:rPr>
        <w:t>chwache Säure)</w:t>
      </w:r>
      <w:r>
        <w:rPr>
          <w:color w:val="943634" w:themeColor="accent2" w:themeShade="BF"/>
          <w:sz w:val="22"/>
        </w:rPr>
        <w:t>(starke Lauge)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866"/>
        <w:gridCol w:w="2867"/>
        <w:gridCol w:w="2829"/>
      </w:tblGrid>
      <w:tr w:rsidR="00DF63FC" w:rsidTr="00DF63FC">
        <w:tc>
          <w:tcPr>
            <w:tcW w:w="3068" w:type="dxa"/>
            <w:shd w:val="clear" w:color="auto" w:fill="DBE5F1" w:themeFill="accent1" w:themeFillTint="33"/>
          </w:tcPr>
          <w:p w:rsidR="00DF63FC" w:rsidRPr="00DF63FC" w:rsidRDefault="00DF63FC" w:rsidP="00DF63FC">
            <w:pPr>
              <w:pStyle w:val="Listenabsatz"/>
              <w:ind w:left="0"/>
              <w:jc w:val="center"/>
            </w:pPr>
          </w:p>
        </w:tc>
        <w:tc>
          <w:tcPr>
            <w:tcW w:w="3069" w:type="dxa"/>
            <w:shd w:val="clear" w:color="auto" w:fill="DBE5F1" w:themeFill="accent1" w:themeFillTint="33"/>
          </w:tcPr>
          <w:p w:rsidR="00DF63FC" w:rsidRPr="00DF63FC" w:rsidRDefault="00DF63FC" w:rsidP="00DF63FC">
            <w:pPr>
              <w:pStyle w:val="Listenabsatz"/>
              <w:ind w:left="0"/>
              <w:jc w:val="center"/>
              <w:rPr>
                <w:b/>
              </w:rPr>
            </w:pPr>
            <w:r w:rsidRPr="00DF63FC">
              <w:rPr>
                <w:b/>
              </w:rPr>
              <w:t>Schwache Säure</w:t>
            </w:r>
          </w:p>
        </w:tc>
        <w:tc>
          <w:tcPr>
            <w:tcW w:w="3069" w:type="dxa"/>
            <w:shd w:val="clear" w:color="auto" w:fill="DBE5F1" w:themeFill="accent1" w:themeFillTint="33"/>
          </w:tcPr>
          <w:p w:rsidR="00DF63FC" w:rsidRPr="00DF63FC" w:rsidRDefault="00DF63FC" w:rsidP="00DF63FC">
            <w:pPr>
              <w:pStyle w:val="Listenabsatz"/>
              <w:ind w:left="0"/>
              <w:jc w:val="center"/>
              <w:rPr>
                <w:b/>
              </w:rPr>
            </w:pPr>
            <w:r w:rsidRPr="00DF63FC">
              <w:rPr>
                <w:b/>
              </w:rPr>
              <w:t>Starke Säure</w:t>
            </w:r>
          </w:p>
        </w:tc>
      </w:tr>
      <w:tr w:rsidR="00DF63FC" w:rsidTr="00DF63FC">
        <w:tc>
          <w:tcPr>
            <w:tcW w:w="3068" w:type="dxa"/>
            <w:shd w:val="clear" w:color="auto" w:fill="DBE5F1" w:themeFill="accent1" w:themeFillTint="33"/>
          </w:tcPr>
          <w:p w:rsidR="00DF63FC" w:rsidRPr="00DF63FC" w:rsidRDefault="00DF63FC" w:rsidP="00DF63FC">
            <w:pPr>
              <w:pStyle w:val="Listenabsatz"/>
              <w:ind w:left="0"/>
              <w:jc w:val="center"/>
              <w:rPr>
                <w:b/>
              </w:rPr>
            </w:pPr>
            <w:r w:rsidRPr="00DF63FC">
              <w:rPr>
                <w:b/>
              </w:rPr>
              <w:t>Schwache Lauge</w:t>
            </w:r>
          </w:p>
        </w:tc>
        <w:tc>
          <w:tcPr>
            <w:tcW w:w="3069" w:type="dxa"/>
          </w:tcPr>
          <w:p w:rsidR="00DF63FC" w:rsidRPr="00DF63FC" w:rsidRDefault="00DF63FC" w:rsidP="00DF63FC">
            <w:pPr>
              <w:pStyle w:val="Listenabsatz"/>
              <w:ind w:left="0"/>
              <w:jc w:val="center"/>
            </w:pPr>
            <w:r>
              <w:t>neutral</w:t>
            </w:r>
          </w:p>
        </w:tc>
        <w:tc>
          <w:tcPr>
            <w:tcW w:w="3069" w:type="dxa"/>
          </w:tcPr>
          <w:p w:rsidR="00DF63FC" w:rsidRPr="00DF63FC" w:rsidRDefault="00DF63FC" w:rsidP="00DF63FC">
            <w:pPr>
              <w:pStyle w:val="Listenabsatz"/>
              <w:ind w:left="0"/>
              <w:jc w:val="center"/>
            </w:pPr>
            <w:r>
              <w:t>sauer</w:t>
            </w:r>
          </w:p>
        </w:tc>
      </w:tr>
      <w:tr w:rsidR="00DF63FC" w:rsidTr="00DF63FC">
        <w:tc>
          <w:tcPr>
            <w:tcW w:w="3068" w:type="dxa"/>
            <w:shd w:val="clear" w:color="auto" w:fill="DBE5F1" w:themeFill="accent1" w:themeFillTint="33"/>
          </w:tcPr>
          <w:p w:rsidR="00DF63FC" w:rsidRPr="00DF63FC" w:rsidRDefault="00DF63FC" w:rsidP="00DF63FC">
            <w:pPr>
              <w:pStyle w:val="Listenabsatz"/>
              <w:ind w:left="0"/>
              <w:jc w:val="center"/>
              <w:rPr>
                <w:b/>
              </w:rPr>
            </w:pPr>
            <w:r w:rsidRPr="00DF63FC">
              <w:rPr>
                <w:b/>
              </w:rPr>
              <w:t>Starke Lauge</w:t>
            </w:r>
          </w:p>
        </w:tc>
        <w:tc>
          <w:tcPr>
            <w:tcW w:w="3069" w:type="dxa"/>
          </w:tcPr>
          <w:p w:rsidR="00DF63FC" w:rsidRPr="00DF63FC" w:rsidRDefault="00DF63FC" w:rsidP="00DF63FC">
            <w:pPr>
              <w:pStyle w:val="Listenabsatz"/>
              <w:ind w:left="0"/>
              <w:jc w:val="center"/>
            </w:pPr>
            <w:r>
              <w:t>alkalisch</w:t>
            </w:r>
          </w:p>
        </w:tc>
        <w:tc>
          <w:tcPr>
            <w:tcW w:w="3069" w:type="dxa"/>
          </w:tcPr>
          <w:p w:rsidR="00DF63FC" w:rsidRPr="00DF63FC" w:rsidRDefault="00DF63FC" w:rsidP="00DF63FC">
            <w:pPr>
              <w:pStyle w:val="Listenabsatz"/>
              <w:ind w:left="0"/>
              <w:jc w:val="center"/>
            </w:pPr>
            <w:r>
              <w:t>neutral</w:t>
            </w:r>
          </w:p>
        </w:tc>
        <w:bookmarkStart w:id="0" w:name="_GoBack"/>
        <w:bookmarkEnd w:id="0"/>
      </w:tr>
    </w:tbl>
    <w:p w:rsidR="00DF63FC" w:rsidRPr="00DF63FC" w:rsidRDefault="00DF63FC" w:rsidP="00DF63FC">
      <w:pPr>
        <w:rPr>
          <w:color w:val="943634" w:themeColor="accent2" w:themeShade="BF"/>
        </w:rPr>
      </w:pPr>
    </w:p>
    <w:sectPr w:rsidR="00DF63FC" w:rsidRPr="00DF63FC" w:rsidSect="005131CB">
      <w:headerReference w:type="default" r:id="rId2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C61" w:rsidRDefault="00461C61" w:rsidP="009071B9">
      <w:r>
        <w:separator/>
      </w:r>
    </w:p>
  </w:endnote>
  <w:endnote w:type="continuationSeparator" w:id="0">
    <w:p w:rsidR="00461C61" w:rsidRDefault="00461C61" w:rsidP="0090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C61" w:rsidRDefault="00461C61" w:rsidP="009071B9">
      <w:r>
        <w:separator/>
      </w:r>
    </w:p>
  </w:footnote>
  <w:footnote w:type="continuationSeparator" w:id="0">
    <w:p w:rsidR="00461C61" w:rsidRDefault="00461C61" w:rsidP="009071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3068"/>
      <w:gridCol w:w="3069"/>
      <w:gridCol w:w="3069"/>
    </w:tblGrid>
    <w:tr w:rsidR="00461C61" w:rsidTr="009071B9">
      <w:tc>
        <w:tcPr>
          <w:tcW w:w="3068" w:type="dxa"/>
        </w:tcPr>
        <w:p w:rsidR="00461C61" w:rsidRDefault="00461C61">
          <w:pPr>
            <w:pStyle w:val="Kopfzeile"/>
          </w:pPr>
          <w:r>
            <w:t xml:space="preserve">Joy </w:t>
          </w:r>
          <w:proofErr w:type="spellStart"/>
          <w:r>
            <w:t>Schönn</w:t>
          </w:r>
          <w:proofErr w:type="spellEnd"/>
        </w:p>
      </w:tc>
      <w:tc>
        <w:tcPr>
          <w:tcW w:w="3069" w:type="dxa"/>
          <w:vMerge w:val="restart"/>
        </w:tcPr>
        <w:p w:rsidR="00461C61" w:rsidRDefault="00461C61" w:rsidP="009071B9">
          <w:pPr>
            <w:pStyle w:val="Kopfzeile"/>
            <w:jc w:val="center"/>
          </w:pPr>
          <w:r>
            <w:t>pH-Werte von Salzlösungen</w:t>
          </w:r>
        </w:p>
        <w:p w:rsidR="00461C61" w:rsidRPr="009071B9" w:rsidRDefault="00461C61" w:rsidP="009071B9">
          <w:pPr>
            <w:pStyle w:val="Kopfzeile"/>
            <w:jc w:val="center"/>
            <w:rPr>
              <w:b/>
            </w:rPr>
          </w:pPr>
          <w:r w:rsidRPr="009071B9">
            <w:rPr>
              <w:b/>
            </w:rPr>
            <w:t>S.211 – V1</w:t>
          </w:r>
        </w:p>
      </w:tc>
      <w:tc>
        <w:tcPr>
          <w:tcW w:w="3069" w:type="dxa"/>
        </w:tcPr>
        <w:p w:rsidR="00461C61" w:rsidRDefault="00461C61" w:rsidP="009071B9">
          <w:pPr>
            <w:pStyle w:val="Kopfzeile"/>
            <w:jc w:val="right"/>
          </w:pPr>
          <w:r>
            <w:t>20.04.2011</w:t>
          </w:r>
        </w:p>
      </w:tc>
    </w:tr>
    <w:tr w:rsidR="00461C61" w:rsidTr="009071B9">
      <w:tc>
        <w:tcPr>
          <w:tcW w:w="3068" w:type="dxa"/>
        </w:tcPr>
        <w:p w:rsidR="00461C61" w:rsidRDefault="00461C61">
          <w:pPr>
            <w:pStyle w:val="Kopfzeile"/>
          </w:pPr>
          <w:r>
            <w:t>WG 12c</w:t>
          </w:r>
        </w:p>
      </w:tc>
      <w:tc>
        <w:tcPr>
          <w:tcW w:w="3069" w:type="dxa"/>
          <w:vMerge/>
        </w:tcPr>
        <w:p w:rsidR="00461C61" w:rsidRDefault="00461C61">
          <w:pPr>
            <w:pStyle w:val="Kopfzeile"/>
          </w:pPr>
        </w:p>
      </w:tc>
      <w:tc>
        <w:tcPr>
          <w:tcW w:w="3069" w:type="dxa"/>
        </w:tcPr>
        <w:p w:rsidR="00461C61" w:rsidRDefault="00461C61" w:rsidP="009071B9">
          <w:pPr>
            <w:pStyle w:val="Kopfzeile"/>
            <w:jc w:val="right"/>
          </w:pPr>
          <w:r>
            <w:t>Chemie</w:t>
          </w:r>
        </w:p>
      </w:tc>
    </w:tr>
  </w:tbl>
  <w:p w:rsidR="00461C61" w:rsidRDefault="00461C61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0494E"/>
    <w:multiLevelType w:val="hybridMultilevel"/>
    <w:tmpl w:val="F5CE7A96"/>
    <w:lvl w:ilvl="0" w:tplc="816478FC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968E3"/>
    <w:multiLevelType w:val="hybridMultilevel"/>
    <w:tmpl w:val="4FACFC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B79C3"/>
    <w:multiLevelType w:val="hybridMultilevel"/>
    <w:tmpl w:val="5EFAF3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B9"/>
    <w:rsid w:val="000A3563"/>
    <w:rsid w:val="002747EB"/>
    <w:rsid w:val="00461C61"/>
    <w:rsid w:val="005131CB"/>
    <w:rsid w:val="00643FCE"/>
    <w:rsid w:val="009071B9"/>
    <w:rsid w:val="00D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E441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9071B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071B9"/>
  </w:style>
  <w:style w:type="paragraph" w:styleId="Fuzeile">
    <w:name w:val="footer"/>
    <w:basedOn w:val="Standard"/>
    <w:link w:val="FuzeileZeichen"/>
    <w:uiPriority w:val="99"/>
    <w:unhideWhenUsed/>
    <w:rsid w:val="009071B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071B9"/>
  </w:style>
  <w:style w:type="table" w:styleId="Tabellenraster">
    <w:name w:val="Table Grid"/>
    <w:basedOn w:val="NormaleTabelle"/>
    <w:uiPriority w:val="59"/>
    <w:rsid w:val="00907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43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9071B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071B9"/>
  </w:style>
  <w:style w:type="paragraph" w:styleId="Fuzeile">
    <w:name w:val="footer"/>
    <w:basedOn w:val="Standard"/>
    <w:link w:val="FuzeileZeichen"/>
    <w:uiPriority w:val="99"/>
    <w:unhideWhenUsed/>
    <w:rsid w:val="009071B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071B9"/>
  </w:style>
  <w:style w:type="table" w:styleId="Tabellenraster">
    <w:name w:val="Table Grid"/>
    <w:basedOn w:val="NormaleTabelle"/>
    <w:uiPriority w:val="59"/>
    <w:rsid w:val="00907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43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de.wikipedia.org/wiki/H-_und_P-S%C3%A4tze#H-S.C3.A4tze" TargetMode="External"/><Relationship Id="rId20" Type="http://schemas.openxmlformats.org/officeDocument/2006/relationships/hyperlink" Target="http://de.wikipedia.org/wiki/H-_und_P-S%C3%A4tze#P-S.C3.A4tze" TargetMode="External"/><Relationship Id="rId21" Type="http://schemas.openxmlformats.org/officeDocument/2006/relationships/hyperlink" Target="http://de.wikipedia.org/wiki/H-_und_P-S%C3%A4tze#P-S.C3.A4tze" TargetMode="External"/><Relationship Id="rId22" Type="http://schemas.openxmlformats.org/officeDocument/2006/relationships/header" Target="head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de.wikipedia.org/wiki/H-_und_P-S%C3%A4tze#H-S.C3.A4tze" TargetMode="External"/><Relationship Id="rId11" Type="http://schemas.openxmlformats.org/officeDocument/2006/relationships/hyperlink" Target="http://de.wikipedia.org/wiki/H-_und_P-S%C3%A4tze#P-S.C3.A4tze" TargetMode="External"/><Relationship Id="rId12" Type="http://schemas.openxmlformats.org/officeDocument/2006/relationships/hyperlink" Target="http://de.wikipedia.org/wiki/H-_und_P-S%C3%A4tze#H-S.C3.A4tze" TargetMode="External"/><Relationship Id="rId13" Type="http://schemas.openxmlformats.org/officeDocument/2006/relationships/hyperlink" Target="http://de.wikipedia.org/wiki/H-_und_P-S%C3%A4tze#H-S.C3.A4tze" TargetMode="External"/><Relationship Id="rId14" Type="http://schemas.openxmlformats.org/officeDocument/2006/relationships/hyperlink" Target="http://de.wikipedia.org/wiki/H-_und_P-S%C3%A4tze#H-S.C3.A4tze" TargetMode="External"/><Relationship Id="rId15" Type="http://schemas.openxmlformats.org/officeDocument/2006/relationships/hyperlink" Target="http://de.wikipedia.org/wiki/H-_und_P-S%C3%A4tze#H-S.C3.A4tze" TargetMode="External"/><Relationship Id="rId16" Type="http://schemas.openxmlformats.org/officeDocument/2006/relationships/hyperlink" Target="http://de.wikipedia.org/wiki/H-_und_P-S%C3%A4tze#P-S.C3.A4tze" TargetMode="External"/><Relationship Id="rId17" Type="http://schemas.openxmlformats.org/officeDocument/2006/relationships/hyperlink" Target="http://de.wikipedia.org/wiki/H-_und_P-S%C3%A4tze#P-S.C3.A4tze" TargetMode="External"/><Relationship Id="rId18" Type="http://schemas.openxmlformats.org/officeDocument/2006/relationships/hyperlink" Target="http://de.wikipedia.org/wiki/H-_und_P-S%C3%A4tze#P-S.C3.A4tze" TargetMode="External"/><Relationship Id="rId19" Type="http://schemas.openxmlformats.org/officeDocument/2006/relationships/hyperlink" Target="http://de.wikipedia.org/wiki/H-_und_P-S%C3%A4tze#P-S.C3.A4tze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12B1DC-7297-E84E-9F34-9A51A7247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2276</Characters>
  <Application>Microsoft Macintosh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</dc:creator>
  <cp:keywords/>
  <dc:description/>
  <cp:lastModifiedBy>Joy</cp:lastModifiedBy>
  <cp:revision>1</cp:revision>
  <dcterms:created xsi:type="dcterms:W3CDTF">2015-04-18T14:17:00Z</dcterms:created>
  <dcterms:modified xsi:type="dcterms:W3CDTF">2015-04-18T15:32:00Z</dcterms:modified>
</cp:coreProperties>
</file>