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64" w:rsidRDefault="00B40365" w:rsidP="00B40365">
      <w:pPr>
        <w:pStyle w:val="Titel"/>
      </w:pPr>
      <w:r>
        <w:t>pH-Werte wässriger Säure- und Basenlösungen</w:t>
      </w:r>
    </w:p>
    <w:p w:rsidR="00B40365" w:rsidRDefault="00B40365" w:rsidP="00B40365">
      <w:pPr>
        <w:pStyle w:val="KeinLeerraum"/>
      </w:pPr>
      <w:r w:rsidRPr="001C2E7A">
        <w:rPr>
          <w:b/>
        </w:rPr>
        <w:t>geg.:</w:t>
      </w:r>
      <w:r>
        <w:tab/>
        <w:t>100ml Joghurt</w:t>
      </w:r>
    </w:p>
    <w:p w:rsidR="00B40365" w:rsidRDefault="00B40365" w:rsidP="00B40365">
      <w:pPr>
        <w:pStyle w:val="KeinLeerraum"/>
      </w:pPr>
      <w:r>
        <w:tab/>
        <w:t>darin: 1,1g Michsäure</w:t>
      </w:r>
    </w:p>
    <w:p w:rsidR="0043023A" w:rsidRDefault="0043023A" w:rsidP="00B40365">
      <w:pPr>
        <w:pStyle w:val="KeinLeerraum"/>
      </w:pPr>
      <w:r>
        <w:tab/>
        <w:t>Formel:</w:t>
      </w:r>
    </w:p>
    <w:p w:rsidR="0043023A" w:rsidRDefault="001C2E7A" w:rsidP="001C2E7A">
      <w:pPr>
        <w:pStyle w:val="KeinLeerraum"/>
        <w:rPr>
          <w:lang w:val="en-US"/>
        </w:rPr>
      </w:pPr>
      <w:r>
        <w:tab/>
      </w:r>
      <w:r w:rsidR="000E13E7">
        <w:rPr>
          <w:rFonts w:cs="Calibri"/>
          <w:noProof/>
          <w:lang w:eastAsia="de-DE"/>
        </w:rPr>
        <w:t>H₃C-COH₂-COOH</w:t>
      </w:r>
    </w:p>
    <w:p w:rsidR="0043023A" w:rsidRPr="0043023A" w:rsidRDefault="0043023A" w:rsidP="00B40365">
      <w:pPr>
        <w:pStyle w:val="KeinLeerraum"/>
      </w:pPr>
      <w:r>
        <w:rPr>
          <w:lang w:val="en-US"/>
        </w:rPr>
        <w:tab/>
      </w:r>
      <w:r w:rsidRPr="0043023A">
        <w:t>Ks=1,35*10</w:t>
      </w:r>
      <w:r w:rsidRPr="0043023A">
        <w:rPr>
          <w:rFonts w:cs="Calibri"/>
        </w:rPr>
        <w:t xml:space="preserve">⁻⁴ </w:t>
      </w:r>
      <w:r w:rsidRPr="0043023A">
        <w:t>mol/L</w:t>
      </w:r>
    </w:p>
    <w:p w:rsidR="0043023A" w:rsidRDefault="0043023A" w:rsidP="00B40365">
      <w:pPr>
        <w:pStyle w:val="KeinLeerraum"/>
      </w:pPr>
      <w:r w:rsidRPr="001C2E7A">
        <w:rPr>
          <w:b/>
        </w:rPr>
        <w:t>ges.:</w:t>
      </w:r>
      <w:r w:rsidRPr="0043023A">
        <w:tab/>
        <w:t>pH-Wert des Joghurts</w:t>
      </w:r>
    </w:p>
    <w:p w:rsidR="000E13E7" w:rsidRPr="000E13E7" w:rsidRDefault="000E13E7" w:rsidP="000E13E7">
      <w:pPr>
        <w:pStyle w:val="KeinLeerraum"/>
        <w:rPr>
          <w:b/>
        </w:rPr>
      </w:pPr>
      <w:r w:rsidRPr="000E13E7">
        <w:rPr>
          <w:b/>
        </w:rPr>
        <w:t>GHS-Gefahrstoffkennzeichnung: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</w:tblGrid>
      <w:tr w:rsidR="000E13E7" w:rsidTr="000E13E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E13E7" w:rsidRDefault="003B1272" w:rsidP="000E13E7">
            <w:pPr>
              <w:pStyle w:val="KeinLeerraum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68020" cy="668020"/>
                  <wp:effectExtent l="19050" t="0" r="0" b="0"/>
                  <wp:docPr id="1" name="Bild 1" descr="05 – Ätzend">
                    <a:hlinkClick xmlns:a="http://schemas.openxmlformats.org/drawingml/2006/main" r:id="rId6" tooltip="&quot;05 – Ätze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>
                            <a:hlinkClick r:id="rId6" tooltip="&quot;05 – Ätze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3E7" w:rsidRDefault="000E13E7" w:rsidP="000E13E7">
      <w:pPr>
        <w:pStyle w:val="KeinLeerraum"/>
      </w:pPr>
      <w:r>
        <w:rPr>
          <w:sz w:val="20"/>
          <w:szCs w:val="20"/>
        </w:rPr>
        <w:t>Gefahr</w:t>
      </w:r>
    </w:p>
    <w:p w:rsidR="000E13E7" w:rsidRDefault="000E13E7" w:rsidP="000E13E7">
      <w:pPr>
        <w:pStyle w:val="KeinLeerraum"/>
        <w:rPr>
          <w:vertAlign w:val="superscript"/>
        </w:rPr>
      </w:pPr>
      <w:r w:rsidRPr="000E13E7">
        <w:t>H- und P-Sätze</w:t>
      </w:r>
      <w:r>
        <w:t xml:space="preserve">: H: </w:t>
      </w:r>
      <w:r w:rsidRPr="000E13E7">
        <w:rPr>
          <w:rStyle w:val="ipa"/>
        </w:rPr>
        <w:t>318</w:t>
      </w:r>
      <w:r>
        <w:t>​‐​</w:t>
      </w:r>
      <w:r w:rsidRPr="000E13E7">
        <w:rPr>
          <w:rStyle w:val="ipa"/>
        </w:rPr>
        <w:t>315</w:t>
      </w:r>
      <w:r>
        <w:t xml:space="preserve"> P: </w:t>
      </w:r>
      <w:r w:rsidRPr="000E13E7">
        <w:rPr>
          <w:rStyle w:val="ipa"/>
        </w:rPr>
        <w:t>280</w:t>
      </w:r>
      <w:r>
        <w:t>​ ‐​</w:t>
      </w:r>
      <w:r w:rsidRPr="000E13E7">
        <w:rPr>
          <w:rStyle w:val="ipa"/>
        </w:rPr>
        <w:t>305+351+338</w:t>
      </w:r>
      <w:r>
        <w:t>​ ‐​</w:t>
      </w:r>
      <w:r w:rsidRPr="000E13E7">
        <w:rPr>
          <w:rStyle w:val="ipa"/>
        </w:rPr>
        <w:t>313</w:t>
      </w:r>
    </w:p>
    <w:p w:rsidR="000E13E7" w:rsidRDefault="000E13E7" w:rsidP="000E13E7">
      <w:pPr>
        <w:pStyle w:val="KeinLeerraum"/>
      </w:pPr>
      <w:r w:rsidRPr="000E13E7">
        <w:t>EU-Gefahrstoffkennzeichnung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</w:tblGrid>
      <w:tr w:rsidR="000E13E7" w:rsidTr="000E13E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E13E7" w:rsidRDefault="003B1272" w:rsidP="000E13E7">
            <w:pPr>
              <w:pStyle w:val="KeinLeerraum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68020" cy="668020"/>
                  <wp:effectExtent l="19050" t="0" r="0" b="0"/>
                  <wp:docPr id="2" name="Bild 2" descr="Reizend">
                    <a:hlinkClick xmlns:a="http://schemas.openxmlformats.org/drawingml/2006/main" r:id="rId8" tooltip="&quot;Reize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izend">
                            <a:hlinkClick r:id="rId8" tooltip="&quot;Reize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3E7" w:rsidTr="000E13E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E13E7" w:rsidRDefault="000E13E7" w:rsidP="000E13E7">
            <w:pPr>
              <w:pStyle w:val="KeinLeerraum"/>
              <w:rPr>
                <w:sz w:val="20"/>
                <w:szCs w:val="20"/>
              </w:rPr>
            </w:pPr>
            <w:r w:rsidRPr="000E13E7">
              <w:rPr>
                <w:sz w:val="20"/>
                <w:szCs w:val="20"/>
              </w:rPr>
              <w:t>Reizend</w:t>
            </w:r>
          </w:p>
        </w:tc>
      </w:tr>
      <w:tr w:rsidR="000E13E7" w:rsidTr="000E13E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E13E7" w:rsidRDefault="000E13E7" w:rsidP="000E13E7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0E13E7" w:rsidRDefault="000E13E7" w:rsidP="000E13E7">
      <w:pPr>
        <w:pStyle w:val="KeinLeerraum"/>
      </w:pPr>
      <w:r w:rsidRPr="000E13E7">
        <w:t>R- und S-Sätze</w:t>
      </w:r>
      <w:r>
        <w:t xml:space="preserve">: R: </w:t>
      </w:r>
      <w:r w:rsidRPr="000E13E7">
        <w:rPr>
          <w:rStyle w:val="ipa"/>
        </w:rPr>
        <w:t>38</w:t>
      </w:r>
      <w:r>
        <w:t>​‐​</w:t>
      </w:r>
      <w:r w:rsidRPr="000E13E7">
        <w:rPr>
          <w:rStyle w:val="ipa"/>
        </w:rPr>
        <w:t>41</w:t>
      </w:r>
      <w:r>
        <w:t xml:space="preserve"> S: </w:t>
      </w:r>
      <w:r w:rsidRPr="000E13E7">
        <w:rPr>
          <w:rStyle w:val="ipa"/>
        </w:rPr>
        <w:t>26</w:t>
      </w:r>
      <w:r>
        <w:t>​‐​</w:t>
      </w:r>
      <w:r w:rsidRPr="000E13E7">
        <w:rPr>
          <w:rStyle w:val="ipa"/>
        </w:rPr>
        <w:t>39</w:t>
      </w:r>
      <w:r>
        <w:rPr>
          <w:rStyle w:val="ipa"/>
          <w:rFonts w:cs="Calibri"/>
        </w:rPr>
        <w:t>²</w:t>
      </w:r>
    </w:p>
    <w:p w:rsidR="001C2E7A" w:rsidRDefault="001C2E7A" w:rsidP="00B40365">
      <w:pPr>
        <w:pStyle w:val="KeinLeerraum"/>
      </w:pPr>
      <w:r w:rsidRPr="001C2E7A">
        <w:rPr>
          <w:b/>
        </w:rPr>
        <w:t>Hilfsmittel (Formeln):</w:t>
      </w:r>
      <w:r>
        <w:rPr>
          <w:b/>
        </w:rPr>
        <w:tab/>
      </w:r>
      <w:r>
        <w:rPr>
          <w:b/>
        </w:rPr>
        <w:tab/>
      </w:r>
      <w:r w:rsidRPr="001C2E7A">
        <w:t>c(OH</w:t>
      </w:r>
      <w:r>
        <w:t>)=n/V</w:t>
      </w:r>
      <w:r>
        <w:tab/>
      </w:r>
      <w:r w:rsidR="00183749">
        <w:tab/>
      </w:r>
      <w:r w:rsidR="00183749">
        <w:tab/>
      </w:r>
      <w:r>
        <w:t>n=m/M</w:t>
      </w:r>
    </w:p>
    <w:p w:rsidR="001C2E7A" w:rsidRDefault="001C2E7A" w:rsidP="00B40365">
      <w:pPr>
        <w:pStyle w:val="KeinLeerraum"/>
        <w:rPr>
          <w:lang w:val="en-US"/>
        </w:rPr>
      </w:pPr>
      <w:r>
        <w:tab/>
      </w:r>
      <w:r>
        <w:tab/>
      </w:r>
      <w:r>
        <w:tab/>
      </w:r>
      <w:r>
        <w:tab/>
      </w:r>
      <w:r w:rsidRPr="001C2E7A">
        <w:rPr>
          <w:lang w:val="en-US"/>
        </w:rPr>
        <w:t>pH=1/2*(pKs-log(c(HA))</w:t>
      </w:r>
    </w:p>
    <w:p w:rsidR="000E13E7" w:rsidRPr="000E13E7" w:rsidRDefault="000E13E7" w:rsidP="00B40365">
      <w:pPr>
        <w:pStyle w:val="KeinLeerraum"/>
        <w:rPr>
          <w:b/>
          <w:lang w:val="en-US"/>
        </w:rPr>
      </w:pPr>
      <w:r w:rsidRPr="000E13E7">
        <w:rPr>
          <w:b/>
          <w:lang w:val="en-US"/>
        </w:rPr>
        <w:t>Weitere Informationen/Rechnung:</w:t>
      </w:r>
    </w:p>
    <w:p w:rsidR="000E13E7" w:rsidRDefault="000E13E7" w:rsidP="00B40365">
      <w:pPr>
        <w:pStyle w:val="KeinLeerraum"/>
        <w:rPr>
          <w:rFonts w:cs="Calibri"/>
          <w:lang w:val="en-US"/>
        </w:rPr>
      </w:pPr>
      <w:r>
        <w:rPr>
          <w:lang w:val="en-US"/>
        </w:rPr>
        <w:t xml:space="preserve">pKs=3,9 </w:t>
      </w:r>
      <w:r>
        <w:rPr>
          <w:rFonts w:cs="Calibri"/>
          <w:lang w:val="en-US"/>
        </w:rPr>
        <w:t>²</w:t>
      </w:r>
    </w:p>
    <w:p w:rsidR="000E13E7" w:rsidRDefault="000E13E7" w:rsidP="00B40365">
      <w:pPr>
        <w:pStyle w:val="KeinLeerraum"/>
        <w:rPr>
          <w:rFonts w:cs="Calibri"/>
          <w:lang w:val="en-US"/>
        </w:rPr>
      </w:pPr>
      <w:r>
        <w:rPr>
          <w:rFonts w:cs="Calibri"/>
          <w:lang w:val="en-US"/>
        </w:rPr>
        <w:t>n=1,1g/90g/mol=</w:t>
      </w:r>
      <w:r w:rsidRPr="000E13E7">
        <w:rPr>
          <w:rFonts w:cs="Calibri"/>
          <w:u w:val="double"/>
          <w:lang w:val="en-US"/>
        </w:rPr>
        <w:t>0,012mol</w:t>
      </w:r>
    </w:p>
    <w:p w:rsidR="000E13E7" w:rsidRDefault="000E13E7" w:rsidP="00B40365">
      <w:pPr>
        <w:pStyle w:val="KeinLeerraum"/>
        <w:rPr>
          <w:rFonts w:cs="Calibri"/>
          <w:lang w:val="en-US"/>
        </w:rPr>
      </w:pPr>
      <w:r>
        <w:rPr>
          <w:rFonts w:cs="Calibri"/>
          <w:lang w:val="en-US"/>
        </w:rPr>
        <w:t>c=0,012mol/0,1L=</w:t>
      </w:r>
      <w:r w:rsidRPr="000E13E7">
        <w:rPr>
          <w:rFonts w:cs="Calibri"/>
          <w:u w:val="double"/>
          <w:lang w:val="en-US"/>
        </w:rPr>
        <w:t>0,12mol/L</w:t>
      </w:r>
    </w:p>
    <w:p w:rsidR="00183749" w:rsidRPr="00183749" w:rsidRDefault="000E13E7" w:rsidP="00B40365">
      <w:pPr>
        <w:pStyle w:val="KeinLeerraum"/>
        <w:rPr>
          <w:rFonts w:cs="Calibri"/>
          <w:u w:val="double"/>
        </w:rPr>
      </w:pPr>
      <w:r w:rsidRPr="00183749">
        <w:rPr>
          <w:rFonts w:cs="Calibri"/>
        </w:rPr>
        <w:t>pH=1/2*(3,9-log(0,12mol/L))=</w:t>
      </w:r>
      <w:r w:rsidRPr="00183749">
        <w:rPr>
          <w:rFonts w:cs="Calibri"/>
          <w:u w:val="double"/>
        </w:rPr>
        <w:t>2,41</w:t>
      </w:r>
      <w:r w:rsidR="00183749">
        <w:rPr>
          <w:rFonts w:cs="Calibri"/>
          <w:u w:val="double"/>
        </w:rPr>
        <w:t>0409377</w:t>
      </w:r>
    </w:p>
    <w:p w:rsidR="000E13E7" w:rsidRPr="00183749" w:rsidRDefault="000E13E7" w:rsidP="00B40365">
      <w:pPr>
        <w:pStyle w:val="KeinLeerraum"/>
        <w:rPr>
          <w:rFonts w:cs="Calibri"/>
        </w:rPr>
      </w:pPr>
    </w:p>
    <w:p w:rsidR="000E13E7" w:rsidRPr="00183749" w:rsidRDefault="000E13E7" w:rsidP="00B40365">
      <w:pPr>
        <w:pStyle w:val="KeinLeerraum"/>
      </w:pPr>
    </w:p>
    <w:p w:rsidR="001C2E7A" w:rsidRPr="00183749" w:rsidRDefault="001C2E7A" w:rsidP="00B40365">
      <w:pPr>
        <w:pStyle w:val="KeinLeerraum"/>
        <w:rPr>
          <w:b/>
        </w:rPr>
      </w:pPr>
    </w:p>
    <w:p w:rsidR="0043023A" w:rsidRPr="00183749" w:rsidRDefault="0043023A" w:rsidP="00B40365">
      <w:pPr>
        <w:pStyle w:val="KeinLeerraum"/>
      </w:pPr>
    </w:p>
    <w:sectPr w:rsidR="0043023A" w:rsidRPr="0018374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4D" w:rsidRDefault="00D0374D" w:rsidP="00B40365">
      <w:pPr>
        <w:spacing w:after="0" w:line="240" w:lineRule="auto"/>
      </w:pPr>
      <w:r>
        <w:separator/>
      </w:r>
    </w:p>
  </w:endnote>
  <w:endnote w:type="continuationSeparator" w:id="0">
    <w:p w:rsidR="00D0374D" w:rsidRDefault="00D0374D" w:rsidP="00B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E7" w:rsidRDefault="000E13E7" w:rsidP="000E13E7">
    <w:pPr>
      <w:pStyle w:val="KeinLeerraum"/>
    </w:pPr>
    <w:r>
      <w:t>Quellen:</w:t>
    </w:r>
  </w:p>
  <w:p w:rsidR="000E13E7" w:rsidRDefault="000E13E7" w:rsidP="000E13E7">
    <w:pPr>
      <w:pStyle w:val="KeinLeerraum"/>
    </w:pPr>
    <w:r>
      <w:rPr>
        <w:rFonts w:cs="Calibri"/>
      </w:rPr>
      <w:t xml:space="preserve">¹ </w:t>
    </w:r>
    <w:r w:rsidRPr="000E13E7">
      <w:rPr>
        <w:rFonts w:cs="Calibri"/>
      </w:rPr>
      <w:t>http://www.google.de/search?q=Milchs%C3%A4ure&amp;ie=utf-8&amp;oe=utf-8&amp;aq=t&amp;rls=org.mozilla:de:official&amp;client=firefox-a&amp;gfe_rd=cr&amp;ei=ZdsPVeDZHo6MOrL3gKAC</w:t>
    </w:r>
  </w:p>
  <w:p w:rsidR="000E13E7" w:rsidRDefault="000E13E7" w:rsidP="000E13E7">
    <w:pPr>
      <w:pStyle w:val="KeinLeerraum"/>
    </w:pPr>
    <w:r>
      <w:rPr>
        <w:rFonts w:cs="Calibri"/>
      </w:rPr>
      <w:t xml:space="preserve">² </w:t>
    </w:r>
    <w:hyperlink r:id="rId1" w:history="1">
      <w:r w:rsidRPr="00641DF4">
        <w:rPr>
          <w:rStyle w:val="Hyperlink"/>
        </w:rPr>
        <w:t>http://de.wikipedia.org/wiki/Milchs%C3%A4ure</w:t>
      </w:r>
    </w:hyperlink>
  </w:p>
  <w:p w:rsidR="000E13E7" w:rsidRDefault="000E13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4D" w:rsidRDefault="00D0374D" w:rsidP="00B40365">
      <w:pPr>
        <w:spacing w:after="0" w:line="240" w:lineRule="auto"/>
      </w:pPr>
      <w:r>
        <w:separator/>
      </w:r>
    </w:p>
  </w:footnote>
  <w:footnote w:type="continuationSeparator" w:id="0">
    <w:p w:rsidR="00D0374D" w:rsidRDefault="00D0374D" w:rsidP="00B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0E13E7" w:rsidP="000E13E7">
    <w:pPr>
      <w:pStyle w:val="KeinLeerraum"/>
      <w:tabs>
        <w:tab w:val="center" w:pos="4536"/>
        <w:tab w:val="right" w:pos="9072"/>
      </w:tabs>
    </w:pPr>
    <w:r>
      <w:t>Chemie bei Herrn Giesler</w:t>
    </w:r>
    <w:r>
      <w:tab/>
      <w:t>Katharina Lehmann (WG12b)</w:t>
    </w:r>
    <w:r>
      <w:tab/>
      <w:t>16.03.2015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0365"/>
    <w:rsid w:val="000E13E7"/>
    <w:rsid w:val="00183749"/>
    <w:rsid w:val="001C2E7A"/>
    <w:rsid w:val="003B1272"/>
    <w:rsid w:val="003D5E7D"/>
    <w:rsid w:val="0043023A"/>
    <w:rsid w:val="008D3964"/>
    <w:rsid w:val="00B40365"/>
    <w:rsid w:val="00D0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03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02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036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40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40365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B403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4036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4036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KeinLeerraum">
    <w:name w:val="No Spacing"/>
    <w:uiPriority w:val="1"/>
    <w:qFormat/>
    <w:rsid w:val="00B40365"/>
    <w:rPr>
      <w:sz w:val="22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4302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13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E13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E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pa">
    <w:name w:val="ipa"/>
    <w:rsid w:val="000E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atei:Hazard_X.sv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Global_harmonisiertes_System_zur_Einstufung_und_Kennzeichnung_von_Chemikalien#.C3.9Cbersicht:_EU-Gefahrensymbole.2C_UN.2FGHS-Gefahrenpiktogramme.2C_UN.2FADR-Gefahrensymbol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Milchs%C3%A4ur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30" baseType="variant">
      <vt:variant>
        <vt:i4>111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http://de.wikipedia.org/wiki/Datei:Hazard_X.svg</vt:lpwstr>
      </vt:variant>
      <vt:variant>
        <vt:lpwstr/>
      </vt:variant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http://de.wikipedia.org/wiki/Global_harmonisiertes_System_zur_Einstufung_und_Kennzeichnung_von_Chemikalien</vt:lpwstr>
      </vt:variant>
      <vt:variant>
        <vt:lpwstr>.C3.9Cbersicht:_EU-Gefahrensymbole.2C_UN.2FGHS-Gefahrenpiktogramme.2C_UN.2FADR-Gefahrensymbole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http://de.wikipedia.org/wiki/Milchs%C3%A4ure</vt:lpwstr>
      </vt:variant>
      <vt:variant>
        <vt:lpwstr/>
      </vt:variant>
      <vt:variant>
        <vt:i4>5898288</vt:i4>
      </vt:variant>
      <vt:variant>
        <vt:i4>2882</vt:i4>
      </vt:variant>
      <vt:variant>
        <vt:i4>1025</vt:i4>
      </vt:variant>
      <vt:variant>
        <vt:i4>4</vt:i4>
      </vt:variant>
      <vt:variant>
        <vt:lpwstr>http://de.wikipedia.org/wiki/Global_harmonisiertes_System_zur_Einstufung_und_Kennzeichnung_von_Chemikalien</vt:lpwstr>
      </vt:variant>
      <vt:variant>
        <vt:lpwstr>.C3.9Cbersicht:_EU-Gefahrensymbole.2C_UN.2FGHS-Gefahrenpiktogramme.2C_UN.2FADR-Gefahrensymbole</vt:lpwstr>
      </vt:variant>
      <vt:variant>
        <vt:i4>111</vt:i4>
      </vt:variant>
      <vt:variant>
        <vt:i4>5150</vt:i4>
      </vt:variant>
      <vt:variant>
        <vt:i4>1026</vt:i4>
      </vt:variant>
      <vt:variant>
        <vt:i4>4</vt:i4>
      </vt:variant>
      <vt:variant>
        <vt:lpwstr>http://de.wikipedia.org/wiki/Datei:Hazard_X.svg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 Winsen (Luhe)</dc:creator>
  <cp:lastModifiedBy>Detlef</cp:lastModifiedBy>
  <cp:revision>2</cp:revision>
  <cp:lastPrinted>2015-03-23T09:00:00Z</cp:lastPrinted>
  <dcterms:created xsi:type="dcterms:W3CDTF">2015-04-20T10:00:00Z</dcterms:created>
  <dcterms:modified xsi:type="dcterms:W3CDTF">2015-04-20T10:00:00Z</dcterms:modified>
</cp:coreProperties>
</file>