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6D" w:rsidRPr="00662FBB" w:rsidRDefault="0023226D" w:rsidP="005126D8">
      <w:pPr>
        <w:rPr>
          <w:b/>
        </w:rPr>
      </w:pPr>
      <w:r w:rsidRPr="00662FBB">
        <w:rPr>
          <w:b/>
        </w:rPr>
        <w:t>Geräte und Chemikalie</w:t>
      </w:r>
      <w:r w:rsidR="007B46AF" w:rsidRPr="00662FBB">
        <w:rPr>
          <w:b/>
        </w:rPr>
        <w:t>n</w:t>
      </w:r>
      <w:r w:rsidRPr="00662FBB">
        <w:rPr>
          <w:b/>
        </w:rPr>
        <w:t>:</w:t>
      </w:r>
    </w:p>
    <w:p w:rsidR="002F59E0" w:rsidRDefault="0023226D" w:rsidP="005126D8">
      <w:r w:rsidRPr="005126D8">
        <w:t xml:space="preserve">Natronlauge (c=0,1 </w:t>
      </w:r>
      <w:proofErr w:type="spellStart"/>
      <w:r w:rsidRPr="005126D8">
        <w:t>mol</w:t>
      </w:r>
      <w:proofErr w:type="spellEnd"/>
      <w:r w:rsidRPr="005126D8">
        <w:t>/l</w:t>
      </w:r>
      <w:r w:rsidR="0089357A" w:rsidRPr="005126D8">
        <w:t xml:space="preserve">), </w:t>
      </w:r>
      <w:proofErr w:type="spellStart"/>
      <w:r w:rsidR="0089357A" w:rsidRPr="005126D8">
        <w:t>Bromthymolblau</w:t>
      </w:r>
      <w:proofErr w:type="spellEnd"/>
      <w:r w:rsidR="0089357A" w:rsidRPr="005126D8">
        <w:t xml:space="preserve"> (drei </w:t>
      </w:r>
      <w:r w:rsidR="007B46AF" w:rsidRPr="005126D8">
        <w:t xml:space="preserve">Tropfen), Weinsäurelösung </w:t>
      </w:r>
      <w:r w:rsidR="00CD50A9">
        <w:t>der Konzentration</w:t>
      </w:r>
    </w:p>
    <w:p w:rsidR="00CD50A9" w:rsidRDefault="0023226D" w:rsidP="005126D8">
      <w:r w:rsidRPr="002F59E0">
        <w:t xml:space="preserve">c=0,025 </w:t>
      </w:r>
      <w:proofErr w:type="spellStart"/>
      <w:r w:rsidRPr="002F59E0">
        <w:t>m</w:t>
      </w:r>
      <w:r w:rsidR="007B46AF" w:rsidRPr="005126D8">
        <w:t>ol</w:t>
      </w:r>
      <w:proofErr w:type="spellEnd"/>
      <w:r w:rsidR="007B46AF" w:rsidRPr="005126D8">
        <w:t>/l;</w:t>
      </w:r>
      <w:r w:rsidR="007B46AF" w:rsidRPr="002F59E0">
        <w:t xml:space="preserve"> c=</w:t>
      </w:r>
      <w:r w:rsidR="007B46AF" w:rsidRPr="005126D8">
        <w:t xml:space="preserve">0,05 </w:t>
      </w:r>
      <w:proofErr w:type="spellStart"/>
      <w:r w:rsidR="007B46AF" w:rsidRPr="005126D8">
        <w:t>mol</w:t>
      </w:r>
      <w:proofErr w:type="spellEnd"/>
      <w:r w:rsidR="007B46AF" w:rsidRPr="005126D8">
        <w:t>/l;</w:t>
      </w:r>
      <w:r w:rsidR="007B46AF" w:rsidRPr="002F59E0">
        <w:t xml:space="preserve"> c=0,1 </w:t>
      </w:r>
      <w:proofErr w:type="spellStart"/>
      <w:r w:rsidR="007B46AF" w:rsidRPr="002F59E0">
        <w:t>mol</w:t>
      </w:r>
      <w:proofErr w:type="spellEnd"/>
      <w:r w:rsidR="007B46AF" w:rsidRPr="002F59E0">
        <w:t>/l</w:t>
      </w:r>
    </w:p>
    <w:p w:rsidR="0023226D" w:rsidRPr="005126D8" w:rsidRDefault="0023226D" w:rsidP="005126D8">
      <w:r w:rsidRPr="005126D8">
        <w:t xml:space="preserve">Magnetrührer, Rührmagnet, Weißwein (20ml; c=?), Bürette, </w:t>
      </w:r>
      <w:proofErr w:type="spellStart"/>
      <w:r w:rsidRPr="005126D8">
        <w:t>Erlmeyerkolben</w:t>
      </w:r>
      <w:proofErr w:type="spellEnd"/>
    </w:p>
    <w:p w:rsidR="0023226D" w:rsidRPr="008412F5" w:rsidRDefault="0023226D" w:rsidP="005126D8">
      <w:pPr>
        <w:rPr>
          <w:b/>
        </w:rPr>
      </w:pPr>
      <w:r w:rsidRPr="008412F5">
        <w:rPr>
          <w:b/>
        </w:rPr>
        <w:t>Durchführung:</w:t>
      </w:r>
    </w:p>
    <w:p w:rsidR="0023226D" w:rsidRPr="005126D8" w:rsidRDefault="00E53276" w:rsidP="005126D8">
      <w:pPr>
        <w:pStyle w:val="Listenabsatz"/>
        <w:numPr>
          <w:ilvl w:val="0"/>
          <w:numId w:val="1"/>
        </w:numPr>
      </w:pPr>
      <w:r w:rsidRPr="005126D8">
        <w:t>Erstellen von Weinsäurelösungen bestimmter Konzentration</w:t>
      </w:r>
    </w:p>
    <w:p w:rsidR="007B46AF" w:rsidRPr="005126D8" w:rsidRDefault="000638DD" w:rsidP="005126D8">
      <w:r w:rsidRPr="005126D8">
        <w:t xml:space="preserve">Gegeben ist das Volumen </w:t>
      </w:r>
      <w:r w:rsidR="007D68CE" w:rsidRPr="005126D8">
        <w:t xml:space="preserve">der gesamten Lösung </w:t>
      </w:r>
      <w:r w:rsidRPr="005126D8">
        <w:t>von 100ml und die Konzentrationen (c</w:t>
      </w:r>
      <w:r w:rsidR="007D68CE" w:rsidRPr="005126D8">
        <w:t>1</w:t>
      </w:r>
      <w:r w:rsidRPr="005126D8">
        <w:t xml:space="preserve">=0,025 </w:t>
      </w:r>
      <w:proofErr w:type="spellStart"/>
      <w:r w:rsidRPr="005126D8">
        <w:t>mol</w:t>
      </w:r>
      <w:proofErr w:type="spellEnd"/>
      <w:r w:rsidRPr="005126D8">
        <w:t>/l; c</w:t>
      </w:r>
      <w:r w:rsidR="007D68CE" w:rsidRPr="005126D8">
        <w:t>2</w:t>
      </w:r>
      <w:r w:rsidRPr="005126D8">
        <w:t xml:space="preserve">=0,05 </w:t>
      </w:r>
      <w:proofErr w:type="spellStart"/>
      <w:r w:rsidRPr="005126D8">
        <w:t>mol</w:t>
      </w:r>
      <w:proofErr w:type="spellEnd"/>
      <w:r w:rsidRPr="005126D8">
        <w:t>/l; c</w:t>
      </w:r>
      <w:r w:rsidR="007D68CE" w:rsidRPr="005126D8">
        <w:t>3</w:t>
      </w:r>
      <w:r w:rsidRPr="005126D8">
        <w:t xml:space="preserve">=0,1 </w:t>
      </w:r>
      <w:proofErr w:type="spellStart"/>
      <w:r w:rsidRPr="005126D8">
        <w:t>mol</w:t>
      </w:r>
      <w:proofErr w:type="spellEnd"/>
      <w:r w:rsidRPr="005126D8">
        <w:t>/l). Gesucht wird m(Weinsäure)</w:t>
      </w:r>
      <w:r w:rsidR="007D68CE" w:rsidRPr="005126D8">
        <w:t xml:space="preserve"> für die Konzentrationen c1, c2 und c3 -</w:t>
      </w:r>
      <w:r w:rsidRPr="005126D8">
        <w:t xml:space="preserve"> </w:t>
      </w:r>
      <w:r w:rsidR="007B46AF" w:rsidRPr="005126D8">
        <w:t>es ergibt sich folgende Lösung:</w:t>
      </w:r>
    </w:p>
    <w:p w:rsidR="007D68CE" w:rsidRPr="005126D8" w:rsidRDefault="007B46AF" w:rsidP="005126D8">
      <w:pPr>
        <w:rPr>
          <w:rFonts w:cs="Arial"/>
          <w:color w:val="252525"/>
          <w:shd w:val="clear" w:color="auto" w:fill="FFFFFF"/>
          <w:lang w:val="en-US"/>
        </w:rPr>
      </w:pPr>
      <w:r w:rsidRPr="005126D8">
        <w:rPr>
          <w:lang w:val="en-US"/>
        </w:rPr>
        <w:t xml:space="preserve">M = </w:t>
      </w:r>
      <w:r w:rsidR="007D68CE" w:rsidRPr="005126D8">
        <w:rPr>
          <w:lang w:val="en-US"/>
        </w:rPr>
        <w:t>C</w:t>
      </w:r>
      <w:r w:rsidRPr="005126D8">
        <w:rPr>
          <w:rFonts w:cs="Arial"/>
          <w:color w:val="252525"/>
          <w:shd w:val="clear" w:color="auto" w:fill="FFFFFF"/>
          <w:vertAlign w:val="subscript"/>
          <w:lang w:val="en-US"/>
        </w:rPr>
        <w:t>4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>H</w:t>
      </w:r>
      <w:r w:rsidR="007D68CE" w:rsidRPr="005126D8">
        <w:rPr>
          <w:rFonts w:cs="Arial"/>
          <w:color w:val="252525"/>
          <w:shd w:val="clear" w:color="auto" w:fill="FFFFFF"/>
          <w:vertAlign w:val="subscript"/>
          <w:lang w:val="en-US"/>
        </w:rPr>
        <w:t>6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>O</w:t>
      </w:r>
      <w:r w:rsidR="007D68CE" w:rsidRPr="005126D8">
        <w:rPr>
          <w:rFonts w:cs="Arial"/>
          <w:color w:val="252525"/>
          <w:shd w:val="clear" w:color="auto" w:fill="FFFFFF"/>
          <w:vertAlign w:val="subscript"/>
          <w:lang w:val="en-US"/>
        </w:rPr>
        <w:t>6</w:t>
      </w:r>
    </w:p>
    <w:p w:rsidR="007D68CE" w:rsidRPr="005126D8" w:rsidRDefault="007D68CE" w:rsidP="005126D8">
      <w:pPr>
        <w:rPr>
          <w:rFonts w:cs="Arial"/>
          <w:color w:val="252525"/>
          <w:shd w:val="clear" w:color="auto" w:fill="FFFFFF"/>
          <w:lang w:val="en-US"/>
        </w:rPr>
      </w:pPr>
      <w:r w:rsidRPr="005126D8">
        <w:rPr>
          <w:rFonts w:cs="Arial"/>
          <w:color w:val="252525"/>
          <w:shd w:val="clear" w:color="auto" w:fill="FFFFFF"/>
          <w:lang w:val="en-US"/>
        </w:rPr>
        <w:t>M</w:t>
      </w:r>
      <w:r w:rsidR="007B46AF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  <w:r w:rsidRPr="005126D8">
        <w:rPr>
          <w:rFonts w:cs="Arial"/>
          <w:color w:val="252525"/>
          <w:shd w:val="clear" w:color="auto" w:fill="FFFFFF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48,04 g + 6  g + 95,94 g</m:t>
        </m:r>
      </m:oMath>
    </w:p>
    <w:p w:rsidR="007D68CE" w:rsidRDefault="007D68CE" w:rsidP="005126D8">
      <w:pPr>
        <w:rPr>
          <w:rFonts w:eastAsiaTheme="minorEastAsia" w:cs="Arial"/>
          <w:color w:val="252525"/>
          <w:shd w:val="clear" w:color="auto" w:fill="FFFFFF"/>
          <w:lang w:val="en-US"/>
        </w:rPr>
      </w:pPr>
      <w:r w:rsidRPr="005126D8">
        <w:rPr>
          <w:rFonts w:cs="Arial"/>
          <w:color w:val="252525"/>
          <w:shd w:val="clear" w:color="auto" w:fill="FFFFFF"/>
          <w:lang w:val="en-US"/>
        </w:rPr>
        <w:t>M</w:t>
      </w:r>
      <w:r w:rsidR="007B46AF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  <w:r w:rsidRPr="005126D8">
        <w:rPr>
          <w:rFonts w:cs="Arial"/>
          <w:color w:val="252525"/>
          <w:shd w:val="clear" w:color="auto" w:fill="FFFFFF"/>
          <w:lang w:val="en-US"/>
        </w:rPr>
        <w:t>= 150</w:t>
      </w:r>
      <w:proofErr w:type="gramStart"/>
      <w:r w:rsidR="00962A41">
        <w:rPr>
          <w:rFonts w:cs="Arial"/>
          <w:color w:val="252525"/>
          <w:shd w:val="clear" w:color="auto" w:fill="FFFFFF"/>
          <w:lang w:val="en-US"/>
        </w:rPr>
        <w:t>,</w:t>
      </w:r>
      <w:r w:rsidR="00962A41" w:rsidRPr="005126D8">
        <w:rPr>
          <w:rFonts w:cs="Arial"/>
          <w:color w:val="252525"/>
          <w:shd w:val="clear" w:color="auto" w:fill="FFFFFF"/>
          <w:lang w:val="en-US"/>
        </w:rPr>
        <w:t>09</w:t>
      </w:r>
      <w:proofErr w:type="gramEnd"/>
      <w:r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g/mol</m:t>
        </m:r>
      </m:oMath>
    </w:p>
    <w:p w:rsidR="0058538D" w:rsidRDefault="0058538D" w:rsidP="005126D8">
      <w:r w:rsidRPr="005126D8">
        <w:t>m =</w:t>
      </w:r>
      <m:oMath>
        <m:r>
          <m:rPr>
            <m:sty m:val="p"/>
          </m:rPr>
          <w:rPr>
            <w:rFonts w:ascii="Cambria Math" w:hAnsi="Cambria Math"/>
          </w:rPr>
          <m:t xml:space="preserve"> M*n</m:t>
        </m:r>
      </m:oMath>
      <w:r w:rsidRPr="005126D8">
        <w:t xml:space="preserve"> </w:t>
      </w:r>
      <w:r w:rsidRPr="005126D8">
        <w:tab/>
      </w:r>
    </w:p>
    <w:p w:rsidR="0058538D" w:rsidRPr="0058538D" w:rsidRDefault="0058538D" w:rsidP="005126D8">
      <w:r w:rsidRPr="005126D8">
        <w:t>Umgestellt nach M bedeutet das:</w:t>
      </w:r>
    </w:p>
    <w:p w:rsidR="007D68CE" w:rsidRDefault="00962A41" w:rsidP="005126D8">
      <w:pPr>
        <w:rPr>
          <w:rFonts w:eastAsiaTheme="minorEastAsia" w:cs="Arial"/>
          <w:color w:val="252525"/>
          <w:shd w:val="clear" w:color="auto" w:fill="FFFFFF"/>
          <w:lang w:val="en-US"/>
        </w:rPr>
      </w:pPr>
      <w:r>
        <w:rPr>
          <w:rFonts w:cs="Arial"/>
          <w:color w:val="252525"/>
          <w:shd w:val="clear" w:color="auto" w:fill="FFFFFF"/>
          <w:lang w:val="en-US"/>
        </w:rPr>
        <w:t>m</w:t>
      </w:r>
      <w:r w:rsidR="007B46AF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M*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c*V</m:t>
        </m:r>
      </m:oMath>
    </w:p>
    <w:p w:rsidR="00D33CF8" w:rsidRPr="005126D8" w:rsidRDefault="00962A41" w:rsidP="005126D8">
      <w:pPr>
        <w:rPr>
          <w:rFonts w:cs="Arial"/>
          <w:color w:val="252525"/>
          <w:shd w:val="clear" w:color="auto" w:fill="FFFFFF"/>
          <w:lang w:val="en-US"/>
        </w:rPr>
      </w:pPr>
      <w:r>
        <w:rPr>
          <w:rFonts w:eastAsiaTheme="minorEastAsia" w:cs="Arial"/>
          <w:color w:val="252525"/>
          <w:shd w:val="clear" w:color="auto" w:fill="FFFFFF"/>
          <w:lang w:val="en-US"/>
        </w:rPr>
        <w:t>m</w:t>
      </w:r>
      <w:r w:rsidR="00D33CF8">
        <w:rPr>
          <w:rFonts w:eastAsiaTheme="minorEastAsia" w:cs="Arial"/>
          <w:color w:val="252525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252525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252525"/>
                <w:shd w:val="clear" w:color="auto" w:fill="FFFFFF"/>
                <w:lang w:val="en-US"/>
              </w:rPr>
              <m:t>150,09 g*0,025 mol*0,1 l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52525"/>
                <w:shd w:val="clear" w:color="auto" w:fill="FFFFFF"/>
                <w:lang w:val="en-US"/>
              </w:rPr>
              <m:t>mol*l</m:t>
            </m:r>
          </m:den>
        </m:f>
      </m:oMath>
    </w:p>
    <w:p w:rsidR="007B46AF" w:rsidRPr="005126D8" w:rsidRDefault="00962A41" w:rsidP="005126D8">
      <w:pPr>
        <w:rPr>
          <w:rFonts w:cs="Arial"/>
          <w:color w:val="252525"/>
          <w:shd w:val="clear" w:color="auto" w:fill="FFFFFF"/>
          <w:lang w:val="en-US"/>
        </w:rPr>
      </w:pPr>
      <w:r>
        <w:rPr>
          <w:rFonts w:cs="Arial"/>
          <w:color w:val="252525"/>
          <w:shd w:val="clear" w:color="auto" w:fill="FFFFFF"/>
          <w:lang w:val="en-US"/>
        </w:rPr>
        <w:t>m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>1</w:t>
      </w:r>
      <w:r w:rsidR="007B46AF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0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,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376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g</m:t>
        </m:r>
      </m:oMath>
      <w:r w:rsidR="007D68CE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</w:p>
    <w:p w:rsidR="007B46AF" w:rsidRPr="005126D8" w:rsidRDefault="00962A41" w:rsidP="005126D8">
      <w:pPr>
        <w:rPr>
          <w:rFonts w:cs="Arial"/>
          <w:color w:val="252525"/>
          <w:shd w:val="clear" w:color="auto" w:fill="FFFFFF"/>
          <w:lang w:val="en-US"/>
        </w:rPr>
      </w:pPr>
      <w:r>
        <w:rPr>
          <w:rFonts w:cs="Arial"/>
          <w:color w:val="252525"/>
          <w:shd w:val="clear" w:color="auto" w:fill="FFFFFF"/>
          <w:lang w:val="en-US"/>
        </w:rPr>
        <w:t>m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>2</w:t>
      </w:r>
      <w:r w:rsidR="007B46AF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  <w:r w:rsidR="007D68CE" w:rsidRPr="005126D8">
        <w:rPr>
          <w:rFonts w:cs="Arial"/>
          <w:color w:val="252525"/>
          <w:shd w:val="clear" w:color="auto" w:fill="FFFFFF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0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,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75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g</m:t>
        </m:r>
      </m:oMath>
      <w:r w:rsidR="007D68CE" w:rsidRPr="005126D8">
        <w:rPr>
          <w:rFonts w:cs="Arial"/>
          <w:color w:val="252525"/>
          <w:shd w:val="clear" w:color="auto" w:fill="FFFFFF"/>
          <w:lang w:val="en-US"/>
        </w:rPr>
        <w:t xml:space="preserve"> </w:t>
      </w:r>
    </w:p>
    <w:p w:rsidR="007D68CE" w:rsidRPr="00962A41" w:rsidRDefault="00962A41" w:rsidP="005126D8">
      <w:pPr>
        <w:rPr>
          <w:rFonts w:cs="Arial"/>
          <w:color w:val="252525"/>
          <w:shd w:val="clear" w:color="auto" w:fill="FFFFFF"/>
          <w:lang w:val="en-US"/>
        </w:rPr>
      </w:pPr>
      <w:r w:rsidRPr="00962A41">
        <w:rPr>
          <w:rFonts w:cs="Arial"/>
          <w:color w:val="252525"/>
          <w:shd w:val="clear" w:color="auto" w:fill="FFFFFF"/>
          <w:lang w:val="en-US"/>
        </w:rPr>
        <w:t>m</w:t>
      </w:r>
      <w:r w:rsidR="007D68CE" w:rsidRPr="00962A41">
        <w:rPr>
          <w:rFonts w:cs="Arial"/>
          <w:color w:val="252525"/>
          <w:shd w:val="clear" w:color="auto" w:fill="FFFFFF"/>
          <w:lang w:val="en-US"/>
        </w:rPr>
        <w:t>3</w:t>
      </w:r>
      <w:r w:rsidR="007B46AF" w:rsidRPr="00962A41">
        <w:rPr>
          <w:rFonts w:cs="Arial"/>
          <w:color w:val="252525"/>
          <w:shd w:val="clear" w:color="auto" w:fill="FFFFFF"/>
          <w:lang w:val="en-US"/>
        </w:rPr>
        <w:t xml:space="preserve"> </w:t>
      </w:r>
      <w:r w:rsidR="007D68CE" w:rsidRPr="00962A41">
        <w:rPr>
          <w:rFonts w:cs="Arial"/>
          <w:color w:val="252525"/>
          <w:shd w:val="clear" w:color="auto" w:fill="FFFFFF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 w:cs="Arial"/>
            <w:color w:val="252525"/>
            <w:shd w:val="clear" w:color="auto" w:fill="FFFFFF"/>
            <w:lang w:val="en-US"/>
          </w:rPr>
          <m:t>1,5 g</m:t>
        </m:r>
      </m:oMath>
    </w:p>
    <w:p w:rsidR="0058538D" w:rsidRDefault="006C04F2" w:rsidP="005126D8">
      <w:p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 xml:space="preserve">Die ausgerechneten Mengen (M1, M2 und M3) werden mit destilliertem Wasser zu einem Gesamtvolumen von 100ml gelöst. </w:t>
      </w:r>
      <w:r w:rsidR="00FC0680" w:rsidRPr="005126D8">
        <w:rPr>
          <w:rFonts w:cs="Arial"/>
          <w:color w:val="252525"/>
          <w:shd w:val="clear" w:color="auto" w:fill="FFFFFF"/>
        </w:rPr>
        <w:t xml:space="preserve">Die Lösungen mit bekannter Konzentration dienen </w:t>
      </w:r>
      <w:r w:rsidRPr="005126D8">
        <w:rPr>
          <w:rFonts w:cs="Arial"/>
          <w:color w:val="252525"/>
          <w:shd w:val="clear" w:color="auto" w:fill="FFFFFF"/>
        </w:rPr>
        <w:t xml:space="preserve">anschließend </w:t>
      </w:r>
      <w:r w:rsidR="00FC0680" w:rsidRPr="005126D8">
        <w:rPr>
          <w:rFonts w:cs="Arial"/>
          <w:color w:val="252525"/>
          <w:shd w:val="clear" w:color="auto" w:fill="FFFFFF"/>
        </w:rPr>
        <w:t>als Maßstab für die Werte der unbestimmten Konzentration des Weißweins.</w:t>
      </w:r>
    </w:p>
    <w:p w:rsidR="00FC0680" w:rsidRPr="005126D8" w:rsidRDefault="00FC0680" w:rsidP="005126D8">
      <w:p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 xml:space="preserve"> </w:t>
      </w:r>
    </w:p>
    <w:p w:rsidR="00FC0680" w:rsidRPr="005126D8" w:rsidRDefault="00FC0680" w:rsidP="005126D8">
      <w:pPr>
        <w:pStyle w:val="Listenabsatz"/>
        <w:numPr>
          <w:ilvl w:val="0"/>
          <w:numId w:val="1"/>
        </w:num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>Titration der drei Lösungen mit bekannter Konzentration</w:t>
      </w:r>
    </w:p>
    <w:p w:rsidR="008412F5" w:rsidRPr="005126D8" w:rsidRDefault="0089357A" w:rsidP="005126D8">
      <w:p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>Jeweils 20ml einer</w:t>
      </w:r>
      <w:r w:rsidR="006C04F2" w:rsidRPr="005126D8">
        <w:rPr>
          <w:rFonts w:cs="Arial"/>
          <w:color w:val="252525"/>
          <w:shd w:val="clear" w:color="auto" w:fill="FFFFFF"/>
        </w:rPr>
        <w:t xml:space="preserve"> </w:t>
      </w:r>
      <w:r w:rsidRPr="005126D8">
        <w:rPr>
          <w:rFonts w:cs="Arial"/>
          <w:color w:val="252525"/>
          <w:shd w:val="clear" w:color="auto" w:fill="FFFFFF"/>
        </w:rPr>
        <w:t xml:space="preserve">Lösung werden mit drei Tropfen </w:t>
      </w:r>
      <w:proofErr w:type="spellStart"/>
      <w:r w:rsidRPr="005126D8">
        <w:rPr>
          <w:rFonts w:cs="Arial"/>
          <w:color w:val="252525"/>
          <w:shd w:val="clear" w:color="auto" w:fill="FFFFFF"/>
        </w:rPr>
        <w:t>Bromthymolblau</w:t>
      </w:r>
      <w:proofErr w:type="spellEnd"/>
      <w:r w:rsidRPr="005126D8">
        <w:rPr>
          <w:rFonts w:cs="Arial"/>
          <w:color w:val="252525"/>
          <w:shd w:val="clear" w:color="auto" w:fill="FFFFFF"/>
        </w:rPr>
        <w:t xml:space="preserve"> in einem </w:t>
      </w:r>
      <w:proofErr w:type="spellStart"/>
      <w:r w:rsidRPr="005126D8">
        <w:rPr>
          <w:rFonts w:cs="Arial"/>
          <w:color w:val="252525"/>
          <w:shd w:val="clear" w:color="auto" w:fill="FFFFFF"/>
        </w:rPr>
        <w:t>Erlmeyerkolben</w:t>
      </w:r>
      <w:proofErr w:type="spellEnd"/>
      <w:r w:rsidRPr="005126D8">
        <w:rPr>
          <w:rFonts w:cs="Arial"/>
          <w:color w:val="252525"/>
          <w:shd w:val="clear" w:color="auto" w:fill="FFFFFF"/>
        </w:rPr>
        <w:t xml:space="preserve"> gegeben. Der </w:t>
      </w:r>
      <w:proofErr w:type="spellStart"/>
      <w:r w:rsidRPr="005126D8">
        <w:rPr>
          <w:rFonts w:cs="Arial"/>
          <w:color w:val="252525"/>
          <w:shd w:val="clear" w:color="auto" w:fill="FFFFFF"/>
        </w:rPr>
        <w:t>Erlmeyerkolben</w:t>
      </w:r>
      <w:proofErr w:type="spellEnd"/>
      <w:r w:rsidRPr="005126D8">
        <w:rPr>
          <w:rFonts w:cs="Arial"/>
          <w:color w:val="252525"/>
          <w:shd w:val="clear" w:color="auto" w:fill="FFFFFF"/>
        </w:rPr>
        <w:t xml:space="preserve">, mit Rührmagnet, wird auf den Magnetrührer gestellt. Die Bürette, gefüllt mit Natronlauge der Konzentration c=0,1 </w:t>
      </w:r>
      <w:proofErr w:type="spellStart"/>
      <w:r w:rsidRPr="005126D8">
        <w:rPr>
          <w:rFonts w:cs="Arial"/>
          <w:color w:val="252525"/>
          <w:shd w:val="clear" w:color="auto" w:fill="FFFFFF"/>
        </w:rPr>
        <w:t>mol</w:t>
      </w:r>
      <w:proofErr w:type="spellEnd"/>
      <w:r w:rsidRPr="005126D8">
        <w:rPr>
          <w:rFonts w:cs="Arial"/>
          <w:color w:val="252525"/>
          <w:shd w:val="clear" w:color="auto" w:fill="FFFFFF"/>
        </w:rPr>
        <w:t xml:space="preserve">/l, wird oberhalb des </w:t>
      </w:r>
      <w:proofErr w:type="spellStart"/>
      <w:r w:rsidRPr="005126D8">
        <w:rPr>
          <w:rFonts w:cs="Arial"/>
          <w:color w:val="252525"/>
          <w:shd w:val="clear" w:color="auto" w:fill="FFFFFF"/>
        </w:rPr>
        <w:t>Erlmeyerkolbens</w:t>
      </w:r>
      <w:proofErr w:type="spellEnd"/>
      <w:r w:rsidRPr="005126D8">
        <w:rPr>
          <w:rFonts w:cs="Arial"/>
          <w:color w:val="252525"/>
          <w:shd w:val="clear" w:color="auto" w:fill="FFFFFF"/>
        </w:rPr>
        <w:t xml:space="preserve"> angebracht. </w:t>
      </w:r>
      <w:r w:rsidR="00E6047E" w:rsidRPr="005126D8">
        <w:rPr>
          <w:rFonts w:cs="Arial"/>
          <w:color w:val="252525"/>
          <w:shd w:val="clear" w:color="auto" w:fill="FFFFFF"/>
        </w:rPr>
        <w:t>In Schritten von 1ml wird Natronlauge in die Lösung gegeben, dieser Vorgang wird so lange wiederholt, bis eine Verfärbung stattfindet. Der Verbrauch der Natronlauge wird für jede Lösung notiert</w:t>
      </w:r>
      <w:r w:rsidR="00085781" w:rsidRPr="005126D8">
        <w:rPr>
          <w:rFonts w:cs="Arial"/>
          <w:color w:val="252525"/>
          <w:shd w:val="clear" w:color="auto" w:fill="FFFFFF"/>
        </w:rPr>
        <w:t>.</w:t>
      </w:r>
    </w:p>
    <w:p w:rsidR="00085781" w:rsidRPr="005126D8" w:rsidRDefault="00085781" w:rsidP="005126D8">
      <w:pPr>
        <w:pStyle w:val="Listenabsatz"/>
        <w:numPr>
          <w:ilvl w:val="0"/>
          <w:numId w:val="1"/>
        </w:num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lastRenderedPageBreak/>
        <w:t>Titration des Weißweins unbestimmter Konzentration</w:t>
      </w:r>
    </w:p>
    <w:p w:rsidR="00085781" w:rsidRPr="005126D8" w:rsidRDefault="000C2C8F" w:rsidP="005126D8">
      <w:p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 xml:space="preserve">Der in b) beschriebene Vorgang wird mit 20ml des Weißweins wiederholt. Der Verbrauch der Natronlauge wird notiert, um den Messwert </w:t>
      </w:r>
      <w:r w:rsidR="00662FBB">
        <w:rPr>
          <w:rFonts w:cs="Arial"/>
          <w:color w:val="252525"/>
          <w:shd w:val="clear" w:color="auto" w:fill="FFFFFF"/>
        </w:rPr>
        <w:t xml:space="preserve">mit den Probelösungen </w:t>
      </w:r>
      <w:r w:rsidRPr="005126D8">
        <w:rPr>
          <w:rFonts w:cs="Arial"/>
          <w:color w:val="252525"/>
          <w:shd w:val="clear" w:color="auto" w:fill="FFFFFF"/>
        </w:rPr>
        <w:t>vergleichen zu können.</w:t>
      </w:r>
    </w:p>
    <w:p w:rsidR="007B46AF" w:rsidRPr="008C11FD" w:rsidRDefault="007B46AF" w:rsidP="005126D8">
      <w:pPr>
        <w:rPr>
          <w:rFonts w:cs="Arial"/>
          <w:b/>
          <w:color w:val="252525"/>
          <w:shd w:val="clear" w:color="auto" w:fill="FFFFFF"/>
        </w:rPr>
      </w:pPr>
      <w:r w:rsidRPr="008C11FD">
        <w:rPr>
          <w:rFonts w:cs="Arial"/>
          <w:b/>
          <w:color w:val="252525"/>
          <w:shd w:val="clear" w:color="auto" w:fill="FFFFFF"/>
        </w:rPr>
        <w:t>Beobachtung:</w:t>
      </w:r>
    </w:p>
    <w:tbl>
      <w:tblPr>
        <w:tblpPr w:leftFromText="141" w:rightFromText="141" w:vertAnchor="text" w:horzAnchor="margin" w:tblpY="931"/>
        <w:tblW w:w="9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137"/>
        <w:gridCol w:w="1154"/>
        <w:gridCol w:w="990"/>
        <w:gridCol w:w="1207"/>
        <w:gridCol w:w="1206"/>
        <w:gridCol w:w="940"/>
        <w:gridCol w:w="1391"/>
      </w:tblGrid>
      <w:tr w:rsidR="00336027" w:rsidRPr="005126D8" w:rsidTr="00336027">
        <w:trPr>
          <w:trHeight w:val="255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bCs/>
                <w:color w:val="000000"/>
                <w:lang w:eastAsia="de-DE"/>
              </w:rPr>
              <w:t xml:space="preserve">c </w:t>
            </w:r>
            <w:r w:rsidRPr="005126D8">
              <w:rPr>
                <w:rFonts w:eastAsia="Times New Roman" w:cs="Times New Roman"/>
                <w:color w:val="000000"/>
                <w:lang w:eastAsia="de-DE"/>
              </w:rPr>
              <w:t xml:space="preserve">(in </w:t>
            </w:r>
            <w:proofErr w:type="spellStart"/>
            <w:r w:rsidRPr="005126D8">
              <w:rPr>
                <w:rFonts w:eastAsia="Times New Roman" w:cs="Times New Roman"/>
                <w:color w:val="000000"/>
                <w:lang w:eastAsia="de-DE"/>
              </w:rPr>
              <w:t>mol</w:t>
            </w:r>
            <w:proofErr w:type="spellEnd"/>
            <w:r w:rsidRPr="005126D8">
              <w:rPr>
                <w:rFonts w:eastAsia="Times New Roman" w:cs="Times New Roman"/>
                <w:color w:val="000000"/>
                <w:lang w:eastAsia="de-DE"/>
              </w:rPr>
              <w:t>/l)</w:t>
            </w:r>
          </w:p>
        </w:tc>
        <w:tc>
          <w:tcPr>
            <w:tcW w:w="66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bCs/>
                <w:color w:val="000000"/>
                <w:lang w:eastAsia="de-DE"/>
              </w:rPr>
              <w:t>V</w:t>
            </w:r>
            <w:r w:rsidRPr="005126D8">
              <w:rPr>
                <w:rFonts w:eastAsia="Times New Roman" w:cs="Times New Roman"/>
                <w:color w:val="000000"/>
                <w:lang w:eastAsia="de-DE"/>
              </w:rPr>
              <w:t xml:space="preserve">erbrauch </w:t>
            </w:r>
            <w:proofErr w:type="spellStart"/>
            <w:r w:rsidRPr="005126D8">
              <w:rPr>
                <w:rFonts w:eastAsia="Times New Roman" w:cs="Times New Roman"/>
                <w:color w:val="000000"/>
                <w:lang w:eastAsia="de-DE"/>
              </w:rPr>
              <w:t>NaOH</w:t>
            </w:r>
            <w:proofErr w:type="spellEnd"/>
            <w:r w:rsidRPr="005126D8">
              <w:rPr>
                <w:rFonts w:eastAsia="Times New Roman" w:cs="Times New Roman"/>
                <w:color w:val="000000"/>
                <w:lang w:eastAsia="de-DE"/>
              </w:rPr>
              <w:t xml:space="preserve"> (in ml)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Durchschnitt</w:t>
            </w:r>
          </w:p>
        </w:tc>
      </w:tr>
      <w:tr w:rsidR="00336027" w:rsidRPr="005126D8" w:rsidTr="00336027">
        <w:trPr>
          <w:trHeight w:val="25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0,025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8,9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9,58</w:t>
            </w:r>
          </w:p>
        </w:tc>
      </w:tr>
      <w:tr w:rsidR="00336027" w:rsidRPr="005126D8" w:rsidTr="00336027">
        <w:trPr>
          <w:trHeight w:val="25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0,05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19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19,2</w:t>
            </w:r>
          </w:p>
        </w:tc>
      </w:tr>
      <w:tr w:rsidR="00336027" w:rsidRPr="005126D8" w:rsidTr="00336027">
        <w:trPr>
          <w:trHeight w:val="255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37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38,04</w:t>
            </w:r>
          </w:p>
        </w:tc>
      </w:tr>
      <w:tr w:rsidR="00336027" w:rsidRPr="005126D8" w:rsidTr="00336027">
        <w:trPr>
          <w:trHeight w:val="267"/>
        </w:trPr>
        <w:tc>
          <w:tcPr>
            <w:tcW w:w="13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Weißwein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12,7</w:t>
            </w:r>
          </w:p>
        </w:tc>
      </w:tr>
      <w:tr w:rsidR="00336027" w:rsidRPr="005126D8" w:rsidTr="00336027">
        <w:trPr>
          <w:trHeight w:val="267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Gruppe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4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6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6027" w:rsidRPr="005126D8" w:rsidRDefault="00336027" w:rsidP="00336027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5126D8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</w:tbl>
    <w:p w:rsidR="007B46AF" w:rsidRPr="005126D8" w:rsidRDefault="007B46AF" w:rsidP="005126D8">
      <w:p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>Die bei der Durchführung von den 6 Gruppen erfassten Werte wurden gesammelt und in einer Tabelle zusammengestellt.</w:t>
      </w:r>
    </w:p>
    <w:p w:rsidR="00336027" w:rsidRDefault="00336027" w:rsidP="005126D8">
      <w:pPr>
        <w:rPr>
          <w:rFonts w:cs="Arial"/>
          <w:b/>
          <w:color w:val="252525"/>
          <w:shd w:val="clear" w:color="auto" w:fill="FFFFFF"/>
        </w:rPr>
      </w:pPr>
    </w:p>
    <w:p w:rsidR="000C2C8F" w:rsidRPr="008C11FD" w:rsidRDefault="000C2C8F" w:rsidP="005126D8">
      <w:pPr>
        <w:rPr>
          <w:rFonts w:cs="Arial"/>
          <w:b/>
          <w:color w:val="252525"/>
          <w:shd w:val="clear" w:color="auto" w:fill="FFFFFF"/>
        </w:rPr>
      </w:pPr>
      <w:r w:rsidRPr="008C11FD">
        <w:rPr>
          <w:rFonts w:cs="Arial"/>
          <w:b/>
          <w:color w:val="252525"/>
          <w:shd w:val="clear" w:color="auto" w:fill="FFFFFF"/>
        </w:rPr>
        <w:t>Auswertung:</w:t>
      </w:r>
    </w:p>
    <w:p w:rsidR="000C2C8F" w:rsidRPr="005126D8" w:rsidRDefault="000C2C8F" w:rsidP="005126D8">
      <w:pPr>
        <w:rPr>
          <w:rFonts w:cs="Arial"/>
          <w:color w:val="252525"/>
          <w:shd w:val="clear" w:color="auto" w:fill="FFFFFF"/>
        </w:rPr>
      </w:pPr>
      <w:r w:rsidRPr="005126D8">
        <w:rPr>
          <w:rFonts w:cs="Arial"/>
          <w:color w:val="252525"/>
          <w:shd w:val="clear" w:color="auto" w:fill="FFFFFF"/>
        </w:rPr>
        <w:t xml:space="preserve">Grundlage der Auswertung soll ein Diagramm mit den, bei der Titration gemessenen Werten sein (Abszisse: Stoffmengenkonzentration, Ordinate: Volumen der Natronlauge). Aus diesem soll die Konzentration des Weißweins </w:t>
      </w:r>
      <w:r w:rsidR="000228BF" w:rsidRPr="005126D8">
        <w:rPr>
          <w:rFonts w:cs="Arial"/>
          <w:color w:val="252525"/>
          <w:shd w:val="clear" w:color="auto" w:fill="FFFFFF"/>
        </w:rPr>
        <w:t>abgelesen werden (unter der Annahme, dass außer Weinsäure keine andere Säure enthalten ist)</w:t>
      </w:r>
      <w:r w:rsidR="007B46AF" w:rsidRPr="005126D8">
        <w:rPr>
          <w:rFonts w:cs="Arial"/>
          <w:color w:val="252525"/>
          <w:shd w:val="clear" w:color="auto" w:fill="FFFFFF"/>
        </w:rPr>
        <w:t>.</w:t>
      </w:r>
    </w:p>
    <w:p w:rsidR="007D68CE" w:rsidRPr="005126D8" w:rsidRDefault="009F2E4C" w:rsidP="005126D8">
      <w:r w:rsidRPr="005126D8">
        <w:rPr>
          <w:noProof/>
          <w:lang w:eastAsia="de-DE"/>
        </w:rPr>
        <w:drawing>
          <wp:inline distT="0" distB="0" distL="0" distR="0" wp14:anchorId="0AC72CE7" wp14:editId="4D0565A9">
            <wp:extent cx="5760720" cy="3940514"/>
            <wp:effectExtent l="0" t="0" r="11430" b="22225"/>
            <wp:docPr id="1" name="Diagramm 1" title="basierend auf Soll-Wert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8DD" w:rsidRPr="005126D8" w:rsidRDefault="00D73826" w:rsidP="005126D8">
      <w:r w:rsidRPr="005126D8">
        <w:lastRenderedPageBreak/>
        <w:t xml:space="preserve">Grafisch lässt sich die Ausgangsfrage folgendermaßen lösen: Das benötigte Volumen der Natronlauge bis zur Neutralisierung (13ml) wird auf der Ordinaten fixiert. Von hier aus wird bis zur Geraden nach rechts gegangen und dann senkrecht nach unten. </w:t>
      </w:r>
      <w:r w:rsidR="002740BC" w:rsidRPr="005126D8">
        <w:t xml:space="preserve">Bei einem Verbrauch von 13ml Natronlauge ergibt sich eine Konzentration von knapp über 0,03 </w:t>
      </w:r>
      <w:proofErr w:type="spellStart"/>
      <w:r w:rsidR="002740BC" w:rsidRPr="005126D8">
        <w:t>mol</w:t>
      </w:r>
      <w:proofErr w:type="spellEnd"/>
      <w:r w:rsidR="002740BC" w:rsidRPr="005126D8">
        <w:t>/l. Die grafische Auswertung ist ungenau und dient nur als Orientierungswert.</w:t>
      </w:r>
    </w:p>
    <w:p w:rsidR="002740BC" w:rsidRPr="005126D8" w:rsidRDefault="00AD7B28" w:rsidP="005126D8">
      <w:r w:rsidRPr="005126D8">
        <w:t>Eine genaue Berechnung der Konzentration erfolgt nach der allgemeinen Neutralisationsformel:</w:t>
      </w:r>
    </w:p>
    <w:p w:rsidR="00AD7B28" w:rsidRPr="005126D8" w:rsidRDefault="005126D8" w:rsidP="005126D8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s*c(Säure)*V(Säure) = b*c(Base)*V(Base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="00E33C1E">
        <w:rPr>
          <w:rFonts w:eastAsiaTheme="minorEastAsia"/>
          <w:lang w:val="en-US"/>
        </w:rPr>
        <w:tab/>
      </w:r>
      <w:r w:rsidR="00E33C1E">
        <w:rPr>
          <w:rFonts w:eastAsiaTheme="minorEastAsia"/>
          <w:lang w:val="en-US"/>
        </w:rPr>
        <w:tab/>
        <w:t xml:space="preserve">s = 1 </w:t>
      </w:r>
      <w:r w:rsidR="00E33C1E">
        <w:rPr>
          <w:rFonts w:eastAsiaTheme="minorEastAsia"/>
          <w:lang w:val="en-US"/>
        </w:rPr>
        <w:tab/>
      </w:r>
      <w:r w:rsidR="00E33C1E">
        <w:rPr>
          <w:rFonts w:eastAsiaTheme="minorEastAsia"/>
          <w:lang w:val="en-US"/>
        </w:rPr>
        <w:tab/>
        <w:t>b = 2</w:t>
      </w:r>
    </w:p>
    <w:p w:rsidR="00E33C1E" w:rsidRPr="005126D8" w:rsidRDefault="005126D8" w:rsidP="005126D8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2*c(Säure)*V(Säure) = c(Base)*V(Base)</m:t>
        </m:r>
      </m:oMath>
      <w:r w:rsidR="00FE1EC9" w:rsidRPr="005126D8">
        <w:rPr>
          <w:lang w:val="en-US"/>
        </w:rPr>
        <w:t xml:space="preserve"> </w:t>
      </w:r>
    </w:p>
    <w:p w:rsidR="00AD7B28" w:rsidRPr="005126D8" w:rsidRDefault="00FE1EC9" w:rsidP="005126D8">
      <w:r w:rsidRPr="005126D8">
        <w:t xml:space="preserve">umgestellt </w:t>
      </w:r>
      <w:r w:rsidR="00AB0221" w:rsidRPr="005126D8">
        <w:t>nach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5126D8">
        <w:t>c(Säure):</w:t>
      </w:r>
    </w:p>
    <w:p w:rsidR="007B46AF" w:rsidRPr="005126D8" w:rsidRDefault="005126D8" w:rsidP="005126D8">
      <w:r w:rsidRPr="005126D8">
        <w:rPr>
          <w:rFonts w:eastAsiaTheme="minorEastAsia"/>
        </w:rPr>
        <w:t xml:space="preserve">c(Säure)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Base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Base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V(Säure)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5126D8">
        <w:rPr>
          <w:rFonts w:eastAsiaTheme="minorEastAsia"/>
        </w:rPr>
        <w:t xml:space="preserve"> </w:t>
      </w:r>
    </w:p>
    <w:p w:rsidR="007B46AF" w:rsidRPr="005126D8" w:rsidRDefault="005126D8" w:rsidP="005126D8">
      <w:r>
        <w:t xml:space="preserve">c(Säure)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mol/l 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13ml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20ml </m:t>
            </m:r>
          </m:den>
        </m:f>
      </m:oMath>
      <w:r w:rsidR="00FE1EC9" w:rsidRPr="005126D8">
        <w:t xml:space="preserve"> </w:t>
      </w:r>
    </w:p>
    <w:p w:rsidR="007B46AF" w:rsidRPr="005126D8" w:rsidRDefault="005126D8" w:rsidP="005126D8">
      <w:r w:rsidRPr="005126D8">
        <w:rPr>
          <w:rFonts w:eastAsiaTheme="minorEastAsia"/>
        </w:rPr>
        <w:t xml:space="preserve">c(Säure) =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 mol/l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13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40 </m:t>
            </m:r>
          </m:den>
        </m:f>
      </m:oMath>
      <w:r w:rsidR="007B46AF" w:rsidRPr="005126D8">
        <w:t xml:space="preserve"> </w:t>
      </w:r>
    </w:p>
    <w:p w:rsidR="00FE1EC9" w:rsidRDefault="005126D8" w:rsidP="005126D8">
      <w:pPr>
        <w:rPr>
          <w:rFonts w:eastAsiaTheme="minorEastAsia"/>
        </w:rPr>
      </w:pPr>
      <w:r>
        <w:rPr>
          <w:rFonts w:eastAsiaTheme="minorEastAsia"/>
        </w:rPr>
        <w:t xml:space="preserve">c(Säure) = </w:t>
      </w:r>
      <m:oMath>
        <m:r>
          <m:rPr>
            <m:sty m:val="p"/>
          </m:rPr>
          <w:rPr>
            <w:rFonts w:ascii="Cambria Math" w:hAnsi="Cambria Math"/>
          </w:rPr>
          <m:t>0,0325 mol/l</m:t>
        </m:r>
      </m:oMath>
    </w:p>
    <w:p w:rsidR="0058538D" w:rsidRPr="005126D8" w:rsidRDefault="0058538D" w:rsidP="005126D8"/>
    <w:p w:rsidR="00D71E61" w:rsidRPr="005126D8" w:rsidRDefault="005126D8" w:rsidP="005126D8">
      <w:r>
        <w:t xml:space="preserve">Das Ergebnis der </w:t>
      </w:r>
      <w:r w:rsidR="00DF292D">
        <w:t xml:space="preserve">Neutralisationsformel stimmt mit der grafischen Lösung überein. </w:t>
      </w:r>
      <w:r w:rsidR="00D71E61" w:rsidRPr="005126D8">
        <w:t xml:space="preserve">Die </w:t>
      </w:r>
      <w:r w:rsidR="00DF292D">
        <w:t>Probe</w:t>
      </w:r>
      <w:r w:rsidR="00D71E61" w:rsidRPr="005126D8">
        <w:t xml:space="preserve"> hat eine Konzentration von 0,0325 </w:t>
      </w:r>
      <w:proofErr w:type="spellStart"/>
      <w:r w:rsidR="00D71E61" w:rsidRPr="005126D8">
        <w:t>m</w:t>
      </w:r>
      <w:r w:rsidR="00DF292D">
        <w:t>o</w:t>
      </w:r>
      <w:r w:rsidR="00D71E61" w:rsidRPr="005126D8">
        <w:t>l</w:t>
      </w:r>
      <w:proofErr w:type="spellEnd"/>
      <w:r w:rsidR="00D71E61" w:rsidRPr="005126D8">
        <w:t>/l.</w:t>
      </w:r>
    </w:p>
    <w:sectPr w:rsidR="00D71E61" w:rsidRPr="005126D8" w:rsidSect="00BE6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6F" w:rsidRDefault="00E6486F" w:rsidP="003D6752">
      <w:pPr>
        <w:spacing w:after="0" w:line="240" w:lineRule="auto"/>
      </w:pPr>
      <w:r>
        <w:separator/>
      </w:r>
    </w:p>
  </w:endnote>
  <w:endnote w:type="continuationSeparator" w:id="0">
    <w:p w:rsidR="00E6486F" w:rsidRDefault="00E6486F" w:rsidP="003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6E" w:rsidRDefault="006912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100241"/>
      <w:docPartObj>
        <w:docPartGallery w:val="Page Numbers (Bottom of Page)"/>
        <w:docPartUnique/>
      </w:docPartObj>
    </w:sdtPr>
    <w:sdtEndPr/>
    <w:sdtContent>
      <w:p w:rsidR="003D6752" w:rsidRDefault="003D675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B3">
          <w:rPr>
            <w:noProof/>
          </w:rPr>
          <w:t>1</w:t>
        </w:r>
        <w:r>
          <w:fldChar w:fldCharType="end"/>
        </w:r>
      </w:p>
    </w:sdtContent>
  </w:sdt>
  <w:p w:rsidR="003D6752" w:rsidRDefault="003D67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6E" w:rsidRDefault="006912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6F" w:rsidRDefault="00E6486F" w:rsidP="003D6752">
      <w:pPr>
        <w:spacing w:after="0" w:line="240" w:lineRule="auto"/>
      </w:pPr>
      <w:r>
        <w:separator/>
      </w:r>
    </w:p>
  </w:footnote>
  <w:footnote w:type="continuationSeparator" w:id="0">
    <w:p w:rsidR="00E6486F" w:rsidRDefault="00E6486F" w:rsidP="003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6E" w:rsidRDefault="006912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F2" w:rsidRDefault="00BE6EF2" w:rsidP="00BE6EF2">
    <w:bookmarkStart w:id="0" w:name="_GoBack"/>
    <w:r>
      <w:t>Chemie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  <w:t>04.07.2014</w:t>
    </w:r>
  </w:p>
  <w:tbl>
    <w:tblPr>
      <w:tblStyle w:val="Tabellenraster"/>
      <w:tblW w:w="0" w:type="auto"/>
      <w:tblInd w:w="108" w:type="dxa"/>
      <w:tblLook w:val="00A0" w:firstRow="1" w:lastRow="0" w:firstColumn="1" w:lastColumn="0" w:noHBand="0" w:noVBand="0"/>
    </w:tblPr>
    <w:tblGrid>
      <w:gridCol w:w="2694"/>
      <w:gridCol w:w="3827"/>
      <w:gridCol w:w="2584"/>
    </w:tblGrid>
    <w:tr w:rsidR="00662FBB" w:rsidRPr="005126D8" w:rsidTr="00BE6EF2">
      <w:trPr>
        <w:trHeight w:val="425"/>
      </w:trPr>
      <w:tc>
        <w:tcPr>
          <w:tcW w:w="2694" w:type="dxa"/>
          <w:vAlign w:val="center"/>
        </w:tcPr>
        <w:p w:rsidR="00662FBB" w:rsidRPr="005126D8" w:rsidRDefault="00662FBB" w:rsidP="008412F5">
          <w:pPr>
            <w:jc w:val="center"/>
          </w:pPr>
          <w:r w:rsidRPr="005126D8">
            <w:t>Lehrer: Herr Giesler</w:t>
          </w:r>
        </w:p>
      </w:tc>
      <w:tc>
        <w:tcPr>
          <w:tcW w:w="3827" w:type="dxa"/>
          <w:vMerge w:val="restart"/>
          <w:vAlign w:val="center"/>
        </w:tcPr>
        <w:p w:rsidR="00662FBB" w:rsidRPr="008412F5" w:rsidRDefault="00662FBB" w:rsidP="008412F5">
          <w:pPr>
            <w:jc w:val="center"/>
            <w:rPr>
              <w:b/>
            </w:rPr>
          </w:pPr>
          <w:r w:rsidRPr="008412F5">
            <w:rPr>
              <w:b/>
            </w:rPr>
            <w:t>Versuchsprotokoll:</w:t>
          </w:r>
        </w:p>
        <w:p w:rsidR="00662FBB" w:rsidRPr="005126D8" w:rsidRDefault="00662FBB" w:rsidP="008412F5">
          <w:pPr>
            <w:jc w:val="center"/>
          </w:pPr>
          <w:r w:rsidRPr="005126D8">
            <w:t>Bestimmung von Säure in Weißwein</w:t>
          </w:r>
        </w:p>
      </w:tc>
      <w:tc>
        <w:tcPr>
          <w:tcW w:w="2584" w:type="dxa"/>
          <w:vAlign w:val="center"/>
        </w:tcPr>
        <w:p w:rsidR="00662FBB" w:rsidRPr="005126D8" w:rsidRDefault="00A618B1" w:rsidP="008412F5">
          <w:pPr>
            <w:jc w:val="center"/>
          </w:pPr>
          <w:r>
            <w:t>Thema: Säure-Base-Reaktionen</w:t>
          </w:r>
        </w:p>
      </w:tc>
    </w:tr>
    <w:tr w:rsidR="00662FBB" w:rsidRPr="005126D8" w:rsidTr="00BE6EF2">
      <w:trPr>
        <w:trHeight w:val="402"/>
      </w:trPr>
      <w:tc>
        <w:tcPr>
          <w:tcW w:w="2694" w:type="dxa"/>
          <w:vAlign w:val="center"/>
        </w:tcPr>
        <w:p w:rsidR="00662FBB" w:rsidRPr="005126D8" w:rsidRDefault="00662FBB" w:rsidP="008412F5">
          <w:pPr>
            <w:jc w:val="center"/>
          </w:pPr>
          <w:r w:rsidRPr="005126D8">
            <w:t>Elemente Chemie S. 223 V3</w:t>
          </w:r>
        </w:p>
      </w:tc>
      <w:tc>
        <w:tcPr>
          <w:tcW w:w="3827" w:type="dxa"/>
          <w:vMerge/>
          <w:vAlign w:val="center"/>
        </w:tcPr>
        <w:p w:rsidR="00662FBB" w:rsidRPr="005126D8" w:rsidRDefault="00662FBB" w:rsidP="008412F5">
          <w:pPr>
            <w:jc w:val="center"/>
          </w:pPr>
        </w:p>
      </w:tc>
      <w:tc>
        <w:tcPr>
          <w:tcW w:w="2584" w:type="dxa"/>
          <w:vAlign w:val="center"/>
        </w:tcPr>
        <w:p w:rsidR="00662FBB" w:rsidRPr="005126D8" w:rsidRDefault="00662FBB" w:rsidP="008412F5">
          <w:pPr>
            <w:jc w:val="center"/>
          </w:pPr>
          <w:r w:rsidRPr="005126D8">
            <w:t>Referent: Philipp Stenzel</w:t>
          </w:r>
        </w:p>
      </w:tc>
    </w:tr>
    <w:bookmarkEnd w:id="0"/>
  </w:tbl>
  <w:p w:rsidR="00681FDC" w:rsidRDefault="00681FD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6E" w:rsidRDefault="006912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52E4D"/>
    <w:multiLevelType w:val="hybridMultilevel"/>
    <w:tmpl w:val="24BE04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B9"/>
    <w:rsid w:val="000228BF"/>
    <w:rsid w:val="000638DD"/>
    <w:rsid w:val="00085781"/>
    <w:rsid w:val="000C2C8F"/>
    <w:rsid w:val="0023226D"/>
    <w:rsid w:val="002740BC"/>
    <w:rsid w:val="002F59E0"/>
    <w:rsid w:val="00336027"/>
    <w:rsid w:val="003D6752"/>
    <w:rsid w:val="0041531B"/>
    <w:rsid w:val="00431E2B"/>
    <w:rsid w:val="004F09B3"/>
    <w:rsid w:val="005126D8"/>
    <w:rsid w:val="0058538D"/>
    <w:rsid w:val="00612378"/>
    <w:rsid w:val="00662FBB"/>
    <w:rsid w:val="00681FDC"/>
    <w:rsid w:val="0068433A"/>
    <w:rsid w:val="0069126E"/>
    <w:rsid w:val="006C04F2"/>
    <w:rsid w:val="007B46AF"/>
    <w:rsid w:val="007D68CE"/>
    <w:rsid w:val="008412F5"/>
    <w:rsid w:val="0089357A"/>
    <w:rsid w:val="008C11FD"/>
    <w:rsid w:val="00962A41"/>
    <w:rsid w:val="009F0D6D"/>
    <w:rsid w:val="009F2E4C"/>
    <w:rsid w:val="00A618B1"/>
    <w:rsid w:val="00A8756B"/>
    <w:rsid w:val="00AB0221"/>
    <w:rsid w:val="00AD7B28"/>
    <w:rsid w:val="00BE6EF2"/>
    <w:rsid w:val="00CD50A9"/>
    <w:rsid w:val="00D16A7F"/>
    <w:rsid w:val="00D33CF8"/>
    <w:rsid w:val="00D645F8"/>
    <w:rsid w:val="00D71E61"/>
    <w:rsid w:val="00D73826"/>
    <w:rsid w:val="00DF292D"/>
    <w:rsid w:val="00E33C1E"/>
    <w:rsid w:val="00E53276"/>
    <w:rsid w:val="00E6047E"/>
    <w:rsid w:val="00E6486F"/>
    <w:rsid w:val="00F23EB9"/>
    <w:rsid w:val="00FC0680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19B583-E59A-4A5A-8348-CA69D9D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32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E4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6752"/>
  </w:style>
  <w:style w:type="paragraph" w:styleId="Fuzeile">
    <w:name w:val="footer"/>
    <w:basedOn w:val="Standard"/>
    <w:link w:val="FuzeileZchn"/>
    <w:uiPriority w:val="99"/>
    <w:unhideWhenUsed/>
    <w:rsid w:val="003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6752"/>
  </w:style>
  <w:style w:type="character" w:styleId="Platzhaltertext">
    <w:name w:val="Placeholder Text"/>
    <w:basedOn w:val="Absatz-Standardschriftart"/>
    <w:uiPriority w:val="99"/>
    <w:semiHidden/>
    <w:rsid w:val="007B4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20140629_Titration_von_Weins&#228;ure_Stenz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="1"/>
              <a:t>V</a:t>
            </a:r>
            <a:r>
              <a:rPr lang="en-US" b="0"/>
              <a:t>erbrauch (NaOH) bei </a:t>
            </a:r>
            <a:r>
              <a:rPr lang="en-US" b="1"/>
              <a:t>c</a:t>
            </a:r>
            <a:r>
              <a:rPr lang="en-US" b="0"/>
              <a:t> (mol/l)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4769320141656511E-2"/>
          <c:y val="3.3759082800278589E-2"/>
          <c:w val="0.72257195978894784"/>
          <c:h val="0.8931078098974001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Tabelle1!$K$4</c:f>
              <c:strCache>
                <c:ptCount val="1"/>
                <c:pt idx="0">
                  <c:v>V (NaOH)</c:v>
                </c:pt>
              </c:strCache>
            </c:strRef>
          </c:tx>
          <c:xVal>
            <c:numRef>
              <c:f>Tabelle1!$L$5:$L$7</c:f>
              <c:numCache>
                <c:formatCode>General</c:formatCode>
                <c:ptCount val="3"/>
                <c:pt idx="0">
                  <c:v>2.5000000000000001E-2</c:v>
                </c:pt>
                <c:pt idx="1">
                  <c:v>0.05</c:v>
                </c:pt>
                <c:pt idx="2">
                  <c:v>0.1</c:v>
                </c:pt>
              </c:numCache>
            </c:numRef>
          </c:xVal>
          <c:yVal>
            <c:numRef>
              <c:f>Tabelle1!$K$5:$K$7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40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608368"/>
        <c:axId val="9287088"/>
      </c:scatterChart>
      <c:valAx>
        <c:axId val="18260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87088"/>
        <c:crosses val="autoZero"/>
        <c:crossBetween val="midCat"/>
        <c:majorUnit val="1.0000000000000002E-2"/>
      </c:valAx>
      <c:valAx>
        <c:axId val="928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de-DE"/>
          </a:p>
        </c:txPr>
        <c:crossAx val="182608368"/>
        <c:crosses val="autoZero"/>
        <c:crossBetween val="midCat"/>
        <c:majorUnit val="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29"/>
    <w:rsid w:val="004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3B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CD93-4EA6-4E91-A930-94CCD1C0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2014-06-30T12:13:00Z</dcterms:created>
  <dcterms:modified xsi:type="dcterms:W3CDTF">2014-07-03T17:58:00Z</dcterms:modified>
</cp:coreProperties>
</file>