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CD" w:rsidRDefault="00841FCD">
      <w:r w:rsidRPr="001B3271">
        <w:rPr>
          <w:u w:val="single"/>
        </w:rPr>
        <w:t>Versuch:</w:t>
      </w:r>
      <w:r>
        <w:t xml:space="preserve">  Titration von Essigsäure mit Natronlauge</w:t>
      </w:r>
    </w:p>
    <w:p w:rsidR="00841FCD" w:rsidRDefault="00841FCD">
      <w:r>
        <w:t>Geben Sie genau 100 ml Essigsäure mit der Konzentration c</w:t>
      </w:r>
      <w:r w:rsidRPr="007B7386">
        <w:rPr>
          <w:vertAlign w:val="subscript"/>
        </w:rPr>
        <w:t>0</w:t>
      </w:r>
      <w:r>
        <w:t>(</w:t>
      </w:r>
      <w:proofErr w:type="spellStart"/>
      <w:r>
        <w:t>HAc</w:t>
      </w:r>
      <w:proofErr w:type="spellEnd"/>
      <w:r>
        <w:t xml:space="preserve">) = 0,1 </w:t>
      </w:r>
      <w:proofErr w:type="spellStart"/>
      <w:r>
        <w:t>mol</w:t>
      </w:r>
      <w:proofErr w:type="spellEnd"/>
      <w:r>
        <w:t xml:space="preserve">/l und 5 Tropfen </w:t>
      </w:r>
      <w:proofErr w:type="spellStart"/>
      <w:r>
        <w:t>Phenolphthaleinlösung</w:t>
      </w:r>
      <w:proofErr w:type="spellEnd"/>
      <w:r>
        <w:t xml:space="preserve"> in einen </w:t>
      </w:r>
      <w:proofErr w:type="spellStart"/>
      <w:r>
        <w:t>Erlenmeyerkolben</w:t>
      </w:r>
      <w:proofErr w:type="spellEnd"/>
      <w:r>
        <w:t>. Bestim</w:t>
      </w:r>
      <w:r w:rsidR="007B7386">
        <w:t>men Sie den pH</w:t>
      </w:r>
      <w:r>
        <w:t>-Wert mit einem</w:t>
      </w:r>
      <w:r w:rsidR="007B7386">
        <w:t xml:space="preserve">             pH-</w:t>
      </w:r>
      <w:r>
        <w:t xml:space="preserve">Meter. Lassen Sie aus eine Bürette 0,5 ml Natronlauge der Konzentration </w:t>
      </w:r>
      <w:r w:rsidR="007B7386">
        <w:t>c</w:t>
      </w:r>
      <w:r w:rsidR="007B7386" w:rsidRPr="007B7386">
        <w:rPr>
          <w:vertAlign w:val="subscript"/>
        </w:rPr>
        <w:t>0</w:t>
      </w:r>
      <w:r w:rsidR="007B7386">
        <w:t>(</w:t>
      </w:r>
      <w:proofErr w:type="spellStart"/>
      <w:r w:rsidR="007B7386">
        <w:t>NaOH</w:t>
      </w:r>
      <w:proofErr w:type="spellEnd"/>
      <w:r w:rsidR="007B7386">
        <w:t xml:space="preserve">) = 1 </w:t>
      </w:r>
      <w:proofErr w:type="spellStart"/>
      <w:r w:rsidR="007B7386">
        <w:t>mol</w:t>
      </w:r>
      <w:proofErr w:type="spellEnd"/>
      <w:r w:rsidR="007B7386">
        <w:t xml:space="preserve">/l       zu der Säure fließen und Rühren Sie um. Bestimmen Sie anschließend den pH-Wert </w:t>
      </w:r>
      <w:r>
        <w:t xml:space="preserve"> </w:t>
      </w:r>
      <w:r w:rsidR="007B7386">
        <w:t xml:space="preserve">der Lösung. Wiederholen Sie die Zugabe der Lauge (jeweils 0,5 ml), das Umrühren und das Messen des              pH-Wertes, bis Sie 12 ml Natronlauge in den </w:t>
      </w:r>
      <w:proofErr w:type="spellStart"/>
      <w:r w:rsidR="007B7386">
        <w:t>Erlenmeyerkolben</w:t>
      </w:r>
      <w:proofErr w:type="spellEnd"/>
      <w:r w:rsidR="007B7386">
        <w:t xml:space="preserve"> haben fließen lassen.</w:t>
      </w:r>
    </w:p>
    <w:p w:rsidR="002560E7" w:rsidRDefault="007B7386" w:rsidP="002560E7">
      <w:r>
        <w:t xml:space="preserve">Geräte: </w:t>
      </w:r>
      <w:proofErr w:type="spellStart"/>
      <w:r>
        <w:t>Erlenmeyerkolben</w:t>
      </w:r>
      <w:proofErr w:type="spellEnd"/>
      <w:r>
        <w:t>, Bürette, pH-Meter, Rührmagnet, Schutzbrille</w:t>
      </w:r>
    </w:p>
    <w:p w:rsidR="002560E7" w:rsidRDefault="002560E7" w:rsidP="007C328C">
      <w:pPr>
        <w:spacing w:line="240" w:lineRule="auto"/>
      </w:pPr>
      <w:r w:rsidRPr="001B3271">
        <w:rPr>
          <w:u w:val="single"/>
        </w:rPr>
        <w:t>Chemikalien:</w:t>
      </w:r>
    </w:p>
    <w:p w:rsidR="002560E7" w:rsidRPr="001D3C1D" w:rsidRDefault="002560E7" w:rsidP="007C328C">
      <w:pPr>
        <w:pStyle w:val="Listenabsatz"/>
        <w:numPr>
          <w:ilvl w:val="0"/>
          <w:numId w:val="2"/>
        </w:numPr>
        <w:spacing w:line="240" w:lineRule="auto"/>
      </w:pPr>
      <w:r w:rsidRPr="001D3C1D">
        <w:t xml:space="preserve">Natronlauge: </w:t>
      </w:r>
    </w:p>
    <w:p w:rsidR="002560E7" w:rsidRPr="001D3C1D" w:rsidRDefault="002560E7" w:rsidP="002560E7">
      <w:pPr>
        <w:pStyle w:val="Listenabsatz"/>
        <w:ind w:left="750"/>
      </w:pPr>
      <w:r w:rsidRPr="001D3C1D">
        <w:tab/>
        <w:t>-</w:t>
      </w:r>
      <w:bookmarkStart w:id="0" w:name="h314"/>
      <w:bookmarkEnd w:id="0"/>
      <w:r w:rsidRPr="001D3C1D">
        <w:rPr>
          <w:rFonts w:cs="Arial"/>
        </w:rPr>
        <w:t>H314  Verursacht schwere Verätzungen der Haut und schwere Augenschäden.</w:t>
      </w:r>
      <w:r w:rsidRPr="001D3C1D">
        <w:t xml:space="preserve">              </w:t>
      </w:r>
      <w:r w:rsidRPr="001D3C1D">
        <w:tab/>
        <w:t>-</w:t>
      </w:r>
      <w:bookmarkStart w:id="1" w:name="h290"/>
      <w:bookmarkEnd w:id="1"/>
      <w:r w:rsidRPr="001D3C1D">
        <w:rPr>
          <w:rFonts w:cs="Arial"/>
        </w:rPr>
        <w:t>H290  Kann gegenüber Metallen korrosiv sein.</w:t>
      </w:r>
      <w:r w:rsidR="001B3271">
        <w:rPr>
          <w:rStyle w:val="Funotenzeichen"/>
          <w:rFonts w:cs="Arial"/>
        </w:rPr>
        <w:footnoteReference w:id="1"/>
      </w:r>
    </w:p>
    <w:p w:rsidR="002560E7" w:rsidRPr="001D3C1D" w:rsidRDefault="002560E7" w:rsidP="002560E7">
      <w:pPr>
        <w:pStyle w:val="Listenabsatz"/>
        <w:numPr>
          <w:ilvl w:val="0"/>
          <w:numId w:val="2"/>
        </w:numPr>
      </w:pPr>
      <w:r w:rsidRPr="001D3C1D">
        <w:t>Essigsäure:</w:t>
      </w:r>
    </w:p>
    <w:p w:rsidR="002560E7" w:rsidRPr="001D3C1D" w:rsidRDefault="002560E7" w:rsidP="002560E7">
      <w:pPr>
        <w:pStyle w:val="Listenabsatz"/>
        <w:ind w:left="750"/>
        <w:rPr>
          <w:rFonts w:cs="Arial"/>
        </w:rPr>
      </w:pPr>
      <w:r w:rsidRPr="001D3C1D">
        <w:tab/>
        <w:t>-</w:t>
      </w:r>
      <w:bookmarkStart w:id="2" w:name="h226"/>
      <w:bookmarkEnd w:id="2"/>
      <w:r w:rsidRPr="001D3C1D">
        <w:rPr>
          <w:rFonts w:cs="Arial"/>
        </w:rPr>
        <w:t>H226  Flüssigkeit und Dampf entzündbar.</w:t>
      </w:r>
    </w:p>
    <w:p w:rsidR="002560E7" w:rsidRPr="001D3C1D" w:rsidRDefault="002560E7" w:rsidP="002560E7">
      <w:pPr>
        <w:pStyle w:val="Listenabsatz"/>
        <w:ind w:left="750"/>
      </w:pPr>
      <w:r w:rsidRPr="001D3C1D">
        <w:rPr>
          <w:rFonts w:cs="Arial"/>
        </w:rPr>
        <w:tab/>
        <w:t>-H314  Verursacht schwere Verätzungen der Haut und schwere Augenschäden</w:t>
      </w:r>
      <w:r w:rsidR="00735254">
        <w:rPr>
          <w:rFonts w:cs="Arial"/>
        </w:rPr>
        <w:t>.</w:t>
      </w:r>
      <w:r w:rsidR="001B3271">
        <w:rPr>
          <w:rStyle w:val="Funotenzeichen"/>
          <w:rFonts w:cs="Arial"/>
        </w:rPr>
        <w:footnoteReference w:id="2"/>
      </w:r>
    </w:p>
    <w:p w:rsidR="001D3C1D" w:rsidRPr="001D3C1D" w:rsidRDefault="002560E7" w:rsidP="001D3C1D">
      <w:pPr>
        <w:pStyle w:val="Listenabsatz"/>
        <w:numPr>
          <w:ilvl w:val="0"/>
          <w:numId w:val="2"/>
        </w:numPr>
      </w:pPr>
      <w:proofErr w:type="spellStart"/>
      <w:r w:rsidRPr="001D3C1D">
        <w:t>Phenolphthaleinlösung</w:t>
      </w:r>
      <w:proofErr w:type="spellEnd"/>
      <w:r w:rsidR="001D3C1D" w:rsidRPr="001D3C1D">
        <w:t>:</w:t>
      </w:r>
    </w:p>
    <w:p w:rsidR="001D3C1D" w:rsidRPr="001D3C1D" w:rsidRDefault="001D3C1D" w:rsidP="001D3C1D">
      <w:pPr>
        <w:pStyle w:val="Listenabsatz"/>
        <w:ind w:left="750"/>
      </w:pPr>
      <w:r w:rsidRPr="001D3C1D">
        <w:tab/>
        <w:t>-</w:t>
      </w:r>
      <w:bookmarkStart w:id="3" w:name="h304"/>
      <w:bookmarkEnd w:id="3"/>
      <w:r w:rsidRPr="001D3C1D">
        <w:rPr>
          <w:rFonts w:cs="Arial"/>
        </w:rPr>
        <w:t xml:space="preserve"> H304  Kann bei Verschlucken und Eindringen in die Atemwege tödlich sein.</w:t>
      </w:r>
      <w:r w:rsidRPr="001D3C1D">
        <w:t> </w:t>
      </w:r>
    </w:p>
    <w:p w:rsidR="001D3C1D" w:rsidRPr="001D3C1D" w:rsidRDefault="001D3C1D" w:rsidP="001D3C1D">
      <w:pPr>
        <w:pStyle w:val="Listenabsatz"/>
        <w:ind w:left="750"/>
      </w:pPr>
      <w:r w:rsidRPr="001D3C1D">
        <w:tab/>
        <w:t>-</w:t>
      </w:r>
      <w:bookmarkStart w:id="4" w:name="h315"/>
      <w:bookmarkEnd w:id="4"/>
      <w:r w:rsidRPr="001D3C1D">
        <w:rPr>
          <w:rFonts w:cs="Arial"/>
        </w:rPr>
        <w:t xml:space="preserve"> H315  Verursacht Hautreizungen.</w:t>
      </w:r>
      <w:r w:rsidRPr="001D3C1D">
        <w:t> </w:t>
      </w:r>
    </w:p>
    <w:p w:rsidR="001D3C1D" w:rsidRDefault="001D3C1D" w:rsidP="001D3C1D">
      <w:pPr>
        <w:pStyle w:val="Listenabsatz"/>
        <w:ind w:left="750"/>
        <w:rPr>
          <w:rFonts w:cs="Arial"/>
        </w:rPr>
      </w:pPr>
      <w:r w:rsidRPr="001D3C1D">
        <w:tab/>
        <w:t>-</w:t>
      </w:r>
      <w:bookmarkStart w:id="5" w:name="h361"/>
      <w:bookmarkEnd w:id="5"/>
      <w:r w:rsidRPr="001D3C1D">
        <w:rPr>
          <w:rFonts w:cs="Arial"/>
        </w:rPr>
        <w:t xml:space="preserve"> H361  Kann vermutlich die Fruchtbarkeit beeinträchtigen (F)</w:t>
      </w:r>
      <w:r w:rsidR="001B3271">
        <w:rPr>
          <w:rStyle w:val="Funotenzeichen"/>
          <w:rFonts w:cs="Arial"/>
        </w:rPr>
        <w:footnoteReference w:id="3"/>
      </w:r>
    </w:p>
    <w:p w:rsidR="001D3C1D" w:rsidRPr="001B3271" w:rsidRDefault="001D3C1D" w:rsidP="001D3C1D">
      <w:pPr>
        <w:ind w:left="30"/>
        <w:rPr>
          <w:rFonts w:cs="Arial"/>
          <w:u w:val="single"/>
        </w:rPr>
      </w:pPr>
      <w:r w:rsidRPr="001B3271">
        <w:rPr>
          <w:rFonts w:cs="Arial"/>
          <w:u w:val="single"/>
        </w:rPr>
        <w:t>Beobachtung:</w:t>
      </w:r>
    </w:p>
    <w:tbl>
      <w:tblPr>
        <w:tblpPr w:leftFromText="141" w:rightFromText="141" w:vertAnchor="text" w:tblpY="1"/>
        <w:tblOverlap w:val="never"/>
        <w:tblW w:w="3900" w:type="dxa"/>
        <w:tblInd w:w="60" w:type="dxa"/>
        <w:tblCellMar>
          <w:left w:w="70" w:type="dxa"/>
          <w:right w:w="70" w:type="dxa"/>
        </w:tblCellMar>
        <w:tblLook w:val="04A0"/>
      </w:tblPr>
      <w:tblGrid>
        <w:gridCol w:w="2700"/>
        <w:gridCol w:w="1200"/>
      </w:tblGrid>
      <w:tr w:rsidR="001D3C1D" w:rsidRPr="001D3C1D" w:rsidTr="001B3271">
        <w:trPr>
          <w:trHeight w:val="315"/>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D3C1D" w:rsidRPr="001D3C1D" w:rsidRDefault="005A14FD" w:rsidP="001B3271">
            <w:pPr>
              <w:spacing w:after="0" w:line="240" w:lineRule="auto"/>
              <w:jc w:val="center"/>
              <w:rPr>
                <w:rFonts w:ascii="Calibri" w:eastAsia="Times New Roman" w:hAnsi="Calibri" w:cs="Times New Roman"/>
                <w:b/>
                <w:bCs/>
                <w:color w:val="000000"/>
                <w:lang w:eastAsia="de-DE"/>
              </w:rPr>
            </w:pPr>
            <w:r>
              <w:rPr>
                <w:rFonts w:ascii="Calibri" w:eastAsia="Times New Roman" w:hAnsi="Calibri" w:cs="Times New Roman"/>
                <w:b/>
                <w:bCs/>
                <w:color w:val="000000"/>
                <w:lang w:eastAsia="de-DE"/>
              </w:rPr>
              <w:t>Natronlaugenmenge</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b/>
                <w:bCs/>
                <w:color w:val="000000"/>
                <w:lang w:eastAsia="de-DE"/>
              </w:rPr>
            </w:pPr>
            <w:r w:rsidRPr="001D3C1D">
              <w:rPr>
                <w:rFonts w:ascii="Calibri" w:eastAsia="Times New Roman" w:hAnsi="Calibri" w:cs="Times New Roman"/>
                <w:b/>
                <w:bCs/>
                <w:color w:val="000000"/>
                <w:lang w:eastAsia="de-DE"/>
              </w:rPr>
              <w:t>pH-Wert</w:t>
            </w:r>
          </w:p>
        </w:tc>
      </w:tr>
      <w:tr w:rsidR="001D3C1D" w:rsidRPr="001D3C1D" w:rsidTr="001B32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0,0 ml</w:t>
            </w:r>
          </w:p>
        </w:tc>
        <w:tc>
          <w:tcPr>
            <w:tcW w:w="1200" w:type="dxa"/>
            <w:tcBorders>
              <w:top w:val="nil"/>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3,1</w:t>
            </w:r>
          </w:p>
        </w:tc>
      </w:tr>
      <w:tr w:rsidR="001D3C1D" w:rsidRPr="001D3C1D" w:rsidTr="001B32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0,5 ml</w:t>
            </w:r>
          </w:p>
        </w:tc>
        <w:tc>
          <w:tcPr>
            <w:tcW w:w="1200" w:type="dxa"/>
            <w:tcBorders>
              <w:top w:val="nil"/>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3,2</w:t>
            </w:r>
          </w:p>
        </w:tc>
      </w:tr>
      <w:tr w:rsidR="001D3C1D" w:rsidRPr="001D3C1D" w:rsidTr="001B32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1,0 ml</w:t>
            </w:r>
          </w:p>
        </w:tc>
        <w:tc>
          <w:tcPr>
            <w:tcW w:w="1200" w:type="dxa"/>
            <w:tcBorders>
              <w:top w:val="nil"/>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3,7</w:t>
            </w:r>
          </w:p>
        </w:tc>
      </w:tr>
      <w:tr w:rsidR="001D3C1D" w:rsidRPr="001D3C1D" w:rsidTr="001B32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1,5 ml</w:t>
            </w:r>
          </w:p>
        </w:tc>
        <w:tc>
          <w:tcPr>
            <w:tcW w:w="1200" w:type="dxa"/>
            <w:tcBorders>
              <w:top w:val="nil"/>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3,9</w:t>
            </w:r>
          </w:p>
        </w:tc>
      </w:tr>
      <w:tr w:rsidR="001D3C1D" w:rsidRPr="001D3C1D" w:rsidTr="001B32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2,0 ml</w:t>
            </w:r>
          </w:p>
        </w:tc>
        <w:tc>
          <w:tcPr>
            <w:tcW w:w="1200" w:type="dxa"/>
            <w:tcBorders>
              <w:top w:val="nil"/>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4,1</w:t>
            </w:r>
          </w:p>
        </w:tc>
      </w:tr>
      <w:tr w:rsidR="001D3C1D" w:rsidRPr="001D3C1D" w:rsidTr="001B32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2,5 ml</w:t>
            </w:r>
          </w:p>
        </w:tc>
        <w:tc>
          <w:tcPr>
            <w:tcW w:w="1200" w:type="dxa"/>
            <w:tcBorders>
              <w:top w:val="nil"/>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4,2</w:t>
            </w:r>
          </w:p>
        </w:tc>
      </w:tr>
      <w:tr w:rsidR="001D3C1D" w:rsidRPr="001D3C1D" w:rsidTr="001B32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3,0 ml</w:t>
            </w:r>
          </w:p>
        </w:tc>
        <w:tc>
          <w:tcPr>
            <w:tcW w:w="1200" w:type="dxa"/>
            <w:tcBorders>
              <w:top w:val="nil"/>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4,3</w:t>
            </w:r>
          </w:p>
        </w:tc>
      </w:tr>
      <w:tr w:rsidR="001D3C1D" w:rsidRPr="001D3C1D" w:rsidTr="001B32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3,5 ml</w:t>
            </w:r>
          </w:p>
        </w:tc>
        <w:tc>
          <w:tcPr>
            <w:tcW w:w="1200" w:type="dxa"/>
            <w:tcBorders>
              <w:top w:val="nil"/>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4,4</w:t>
            </w:r>
          </w:p>
        </w:tc>
      </w:tr>
      <w:tr w:rsidR="001D3C1D" w:rsidRPr="001D3C1D" w:rsidTr="001B32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4,0 ml</w:t>
            </w:r>
          </w:p>
        </w:tc>
        <w:tc>
          <w:tcPr>
            <w:tcW w:w="1200" w:type="dxa"/>
            <w:tcBorders>
              <w:top w:val="nil"/>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4,4</w:t>
            </w:r>
          </w:p>
        </w:tc>
      </w:tr>
      <w:tr w:rsidR="001D3C1D" w:rsidRPr="001D3C1D" w:rsidTr="001B32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4,5 ml</w:t>
            </w:r>
          </w:p>
        </w:tc>
        <w:tc>
          <w:tcPr>
            <w:tcW w:w="1200" w:type="dxa"/>
            <w:tcBorders>
              <w:top w:val="nil"/>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4,5</w:t>
            </w:r>
          </w:p>
        </w:tc>
      </w:tr>
      <w:tr w:rsidR="001D3C1D" w:rsidRPr="001D3C1D" w:rsidTr="001B32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5,0 ml</w:t>
            </w:r>
          </w:p>
        </w:tc>
        <w:tc>
          <w:tcPr>
            <w:tcW w:w="1200" w:type="dxa"/>
            <w:tcBorders>
              <w:top w:val="nil"/>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4,6</w:t>
            </w:r>
          </w:p>
        </w:tc>
      </w:tr>
      <w:tr w:rsidR="001D3C1D" w:rsidRPr="001D3C1D" w:rsidTr="001B32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5,5 ml</w:t>
            </w:r>
          </w:p>
        </w:tc>
        <w:tc>
          <w:tcPr>
            <w:tcW w:w="1200" w:type="dxa"/>
            <w:tcBorders>
              <w:top w:val="nil"/>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4,7</w:t>
            </w:r>
          </w:p>
        </w:tc>
      </w:tr>
      <w:tr w:rsidR="001D3C1D" w:rsidRPr="001D3C1D" w:rsidTr="001B32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6,0 ml</w:t>
            </w:r>
          </w:p>
        </w:tc>
        <w:tc>
          <w:tcPr>
            <w:tcW w:w="1200" w:type="dxa"/>
            <w:tcBorders>
              <w:top w:val="nil"/>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4,8</w:t>
            </w:r>
          </w:p>
        </w:tc>
      </w:tr>
      <w:tr w:rsidR="001D3C1D" w:rsidRPr="001D3C1D" w:rsidTr="001B32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6,5 ml</w:t>
            </w:r>
          </w:p>
        </w:tc>
        <w:tc>
          <w:tcPr>
            <w:tcW w:w="1200" w:type="dxa"/>
            <w:tcBorders>
              <w:top w:val="nil"/>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4,9</w:t>
            </w:r>
          </w:p>
        </w:tc>
      </w:tr>
      <w:tr w:rsidR="001D3C1D" w:rsidRPr="001D3C1D" w:rsidTr="001B327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7,0 ml</w:t>
            </w:r>
          </w:p>
        </w:tc>
        <w:tc>
          <w:tcPr>
            <w:tcW w:w="1200" w:type="dxa"/>
            <w:tcBorders>
              <w:top w:val="nil"/>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5</w:t>
            </w:r>
          </w:p>
        </w:tc>
      </w:tr>
      <w:tr w:rsidR="001D3C1D" w:rsidRPr="001D3C1D" w:rsidTr="00FB1D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7,5 ml</w:t>
            </w:r>
          </w:p>
        </w:tc>
        <w:tc>
          <w:tcPr>
            <w:tcW w:w="1200" w:type="dxa"/>
            <w:tcBorders>
              <w:top w:val="nil"/>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5,1</w:t>
            </w:r>
          </w:p>
        </w:tc>
      </w:tr>
      <w:tr w:rsidR="001D3C1D" w:rsidRPr="001D3C1D" w:rsidTr="00FB1D44">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lastRenderedPageBreak/>
              <w:t>8,0 ml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5,2</w:t>
            </w:r>
          </w:p>
        </w:tc>
      </w:tr>
      <w:tr w:rsidR="001D3C1D" w:rsidRPr="001D3C1D" w:rsidTr="00FB1D44">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8,5 ml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5,3</w:t>
            </w:r>
          </w:p>
        </w:tc>
      </w:tr>
      <w:tr w:rsidR="001D3C1D" w:rsidRPr="001D3C1D" w:rsidTr="00FB1D44">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9,0 ml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5,5</w:t>
            </w:r>
          </w:p>
        </w:tc>
      </w:tr>
      <w:tr w:rsidR="001D3C1D" w:rsidRPr="001D3C1D" w:rsidTr="001B3271">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9,5 ml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5,7</w:t>
            </w:r>
          </w:p>
        </w:tc>
      </w:tr>
      <w:tr w:rsidR="001D3C1D" w:rsidRPr="001D3C1D" w:rsidTr="00FB1D44">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10,0 ml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6,2</w:t>
            </w:r>
          </w:p>
        </w:tc>
      </w:tr>
      <w:tr w:rsidR="001D3C1D" w:rsidRPr="001D3C1D" w:rsidTr="00FB1D44">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themeColor="text1"/>
                <w:lang w:eastAsia="de-DE"/>
              </w:rPr>
            </w:pPr>
            <w:r w:rsidRPr="001D3C1D">
              <w:rPr>
                <w:rFonts w:ascii="Calibri" w:eastAsia="Times New Roman" w:hAnsi="Calibri" w:cs="Times New Roman"/>
                <w:color w:val="000000" w:themeColor="text1"/>
                <w:lang w:eastAsia="de-DE"/>
              </w:rPr>
              <w:t>10,5 ml</w:t>
            </w:r>
          </w:p>
        </w:tc>
        <w:tc>
          <w:tcPr>
            <w:tcW w:w="1200" w:type="dxa"/>
            <w:tcBorders>
              <w:top w:val="single" w:sz="4" w:space="0" w:color="auto"/>
              <w:left w:val="nil"/>
              <w:bottom w:val="single" w:sz="4" w:space="0" w:color="auto"/>
              <w:right w:val="single" w:sz="4" w:space="0" w:color="auto"/>
            </w:tcBorders>
            <w:shd w:val="clear" w:color="auto" w:fill="FF0000"/>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themeColor="text1"/>
                <w:lang w:eastAsia="de-DE"/>
              </w:rPr>
            </w:pPr>
            <w:r w:rsidRPr="001D3C1D">
              <w:rPr>
                <w:rFonts w:ascii="Calibri" w:eastAsia="Times New Roman" w:hAnsi="Calibri" w:cs="Times New Roman"/>
                <w:color w:val="000000" w:themeColor="text1"/>
                <w:lang w:eastAsia="de-DE"/>
              </w:rPr>
              <w:t>11,2</w:t>
            </w:r>
          </w:p>
        </w:tc>
      </w:tr>
      <w:tr w:rsidR="001D3C1D" w:rsidRPr="001D3C1D" w:rsidTr="00FB1D44">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11,0 ml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11,5</w:t>
            </w:r>
          </w:p>
        </w:tc>
      </w:tr>
      <w:tr w:rsidR="001D3C1D" w:rsidRPr="001D3C1D" w:rsidTr="00FB1D44">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11,5 ml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11,8</w:t>
            </w:r>
          </w:p>
        </w:tc>
      </w:tr>
      <w:tr w:rsidR="001D3C1D" w:rsidRPr="001D3C1D" w:rsidTr="00FB1D44">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12,0 ml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D3C1D" w:rsidRPr="001D3C1D" w:rsidRDefault="001D3C1D" w:rsidP="001B3271">
            <w:pPr>
              <w:spacing w:after="0" w:line="240" w:lineRule="auto"/>
              <w:jc w:val="center"/>
              <w:rPr>
                <w:rFonts w:ascii="Calibri" w:eastAsia="Times New Roman" w:hAnsi="Calibri" w:cs="Times New Roman"/>
                <w:color w:val="000000"/>
                <w:lang w:eastAsia="de-DE"/>
              </w:rPr>
            </w:pPr>
            <w:r w:rsidRPr="001D3C1D">
              <w:rPr>
                <w:rFonts w:ascii="Calibri" w:eastAsia="Times New Roman" w:hAnsi="Calibri" w:cs="Times New Roman"/>
                <w:color w:val="000000"/>
                <w:lang w:eastAsia="de-DE"/>
              </w:rPr>
              <w:t>11,9</w:t>
            </w:r>
          </w:p>
        </w:tc>
      </w:tr>
    </w:tbl>
    <w:p w:rsidR="001D3C1D" w:rsidRDefault="001B3271" w:rsidP="001D3C1D">
      <w:pPr>
        <w:ind w:left="30"/>
        <w:rPr>
          <w:rFonts w:cs="Arial"/>
        </w:rPr>
      </w:pPr>
      <w:r>
        <w:rPr>
          <w:rFonts w:cs="Arial"/>
        </w:rPr>
        <w:br w:type="textWrapping" w:clear="all"/>
      </w:r>
    </w:p>
    <w:p w:rsidR="005C3ACB" w:rsidRDefault="005A14FD" w:rsidP="001D3C1D">
      <w:pPr>
        <w:ind w:left="30"/>
        <w:rPr>
          <w:rFonts w:cs="Arial"/>
        </w:rPr>
      </w:pPr>
      <w:r>
        <w:rPr>
          <w:rFonts w:cs="Arial"/>
        </w:rPr>
        <w:t xml:space="preserve">Ab der Menge von 2,5 ml Natronlauge in der Lösung  bildeten sich beim hinzuführen </w:t>
      </w:r>
      <w:r w:rsidR="00C0254C">
        <w:rPr>
          <w:rFonts w:cs="Arial"/>
        </w:rPr>
        <w:t>der weiteren</w:t>
      </w:r>
      <w:r>
        <w:rPr>
          <w:rFonts w:cs="Arial"/>
        </w:rPr>
        <w:t xml:space="preserve"> Natronlauge</w:t>
      </w:r>
      <w:r w:rsidR="00C0254C">
        <w:rPr>
          <w:rFonts w:cs="Arial"/>
        </w:rPr>
        <w:t xml:space="preserve"> rötliche Abfärbungen, welche nach kurzer Zeit wieder verschwanden. Je mehr Natronlauge sich in der Lösung befand, des so länger blieb die rötliche Verfärbung, bis die Lösung ab der 21 Zugabe von jeweils 0,5 ml Natronlauge (insgesamt 10,5 ml) diese Verfärbung beibehielt. </w:t>
      </w:r>
    </w:p>
    <w:p w:rsidR="00C0254C" w:rsidRPr="001B3271" w:rsidRDefault="005C3ACB" w:rsidP="001D3C1D">
      <w:pPr>
        <w:ind w:left="30"/>
        <w:rPr>
          <w:rFonts w:cs="Arial"/>
          <w:u w:val="single"/>
        </w:rPr>
      </w:pPr>
      <w:r w:rsidRPr="001B3271">
        <w:rPr>
          <w:rFonts w:cs="Arial"/>
          <w:u w:val="single"/>
        </w:rPr>
        <w:t>Auswertung:</w:t>
      </w:r>
    </w:p>
    <w:p w:rsidR="00C0254C" w:rsidRDefault="00C0254C" w:rsidP="001D3C1D">
      <w:pPr>
        <w:ind w:left="30"/>
        <w:rPr>
          <w:rFonts w:cs="Arial"/>
        </w:rPr>
      </w:pPr>
      <w:r w:rsidRPr="00C0254C">
        <w:rPr>
          <w:rFonts w:cs="Arial"/>
        </w:rPr>
        <w:drawing>
          <wp:inline distT="0" distB="0" distL="0" distR="0">
            <wp:extent cx="5760720" cy="3100485"/>
            <wp:effectExtent l="19050" t="0" r="11430" b="466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3ACB" w:rsidRDefault="005C3ACB" w:rsidP="001D3C1D">
      <w:pPr>
        <w:ind w:left="30"/>
        <w:rPr>
          <w:rFonts w:cs="Arial"/>
        </w:rPr>
      </w:pPr>
      <w:r>
        <w:rPr>
          <w:rFonts w:cs="Arial"/>
        </w:rPr>
        <w:t>Die Titration von Essigsäure mit Natronlauge ist eine Titration mit eine Schwachen Säure, daher ist der pH-Sprung deutlich geringer als</w:t>
      </w:r>
      <w:r w:rsidR="00735254">
        <w:rPr>
          <w:rFonts w:cs="Arial"/>
        </w:rPr>
        <w:t xml:space="preserve"> bei der vorherigen Titration mit Salzsäure. Bei der Salzsäure lag der </w:t>
      </w:r>
      <w:proofErr w:type="spellStart"/>
      <w:r w:rsidR="00735254">
        <w:rPr>
          <w:rFonts w:cs="Arial"/>
        </w:rPr>
        <w:t>Äquivalen</w:t>
      </w:r>
      <w:r w:rsidR="00C6014C">
        <w:rPr>
          <w:rFonts w:cs="Arial"/>
        </w:rPr>
        <w:t>zpunkt</w:t>
      </w:r>
      <w:proofErr w:type="spellEnd"/>
      <w:r w:rsidR="00C6014C">
        <w:rPr>
          <w:rFonts w:cs="Arial"/>
        </w:rPr>
        <w:t xml:space="preserve"> bei einem pH-Wert von 7,0 , während der </w:t>
      </w:r>
      <w:proofErr w:type="spellStart"/>
      <w:r w:rsidR="00C6014C">
        <w:rPr>
          <w:rFonts w:cs="Arial"/>
        </w:rPr>
        <w:t>Äquivalenzpunkt</w:t>
      </w:r>
      <w:proofErr w:type="spellEnd"/>
      <w:r w:rsidR="00C6014C">
        <w:rPr>
          <w:rFonts w:cs="Arial"/>
        </w:rPr>
        <w:t xml:space="preserve"> bei der Titration von Essigsäure bei 8,9 liegt. </w:t>
      </w:r>
    </w:p>
    <w:p w:rsidR="00C6014C" w:rsidRDefault="00C6014C" w:rsidP="00C6014C">
      <w:pPr>
        <w:ind w:left="30"/>
        <w:rPr>
          <w:rFonts w:cs="Arial"/>
        </w:rPr>
      </w:pPr>
      <w:r>
        <w:rPr>
          <w:rFonts w:cs="Arial"/>
        </w:rPr>
        <w:t xml:space="preserve">Für die Berechnung des </w:t>
      </w:r>
      <w:proofErr w:type="spellStart"/>
      <w:r>
        <w:rPr>
          <w:rFonts w:cs="Arial"/>
        </w:rPr>
        <w:t>Äqivalenzpunktes</w:t>
      </w:r>
      <w:proofErr w:type="spellEnd"/>
      <w:r>
        <w:rPr>
          <w:rFonts w:cs="Arial"/>
        </w:rPr>
        <w:t xml:space="preserve"> gilt folgendes: </w:t>
      </w:r>
      <w:r>
        <w:rPr>
          <w:rFonts w:cs="Arial"/>
        </w:rPr>
        <w:tab/>
      </w:r>
      <w:proofErr w:type="spellStart"/>
      <w:r>
        <w:rPr>
          <w:rFonts w:cs="Arial"/>
        </w:rPr>
        <w:t>pOH</w:t>
      </w:r>
      <w:proofErr w:type="spellEnd"/>
      <w:r>
        <w:rPr>
          <w:rFonts w:cs="Arial"/>
        </w:rPr>
        <w:t xml:space="preserve"> = (1/2) [</w:t>
      </w:r>
      <w:proofErr w:type="spellStart"/>
      <w:r>
        <w:rPr>
          <w:rFonts w:cs="Arial"/>
        </w:rPr>
        <w:t>pK</w:t>
      </w:r>
      <w:r w:rsidRPr="00450D2E">
        <w:rPr>
          <w:rFonts w:cs="Arial"/>
          <w:vertAlign w:val="subscript"/>
        </w:rPr>
        <w:t>B</w:t>
      </w:r>
      <w:proofErr w:type="spellEnd"/>
      <w:r w:rsidRPr="00450D2E">
        <w:rPr>
          <w:rFonts w:cs="Arial"/>
          <w:vertAlign w:val="subscript"/>
        </w:rPr>
        <w:t xml:space="preserve"> </w:t>
      </w:r>
      <w:r>
        <w:rPr>
          <w:rFonts w:cs="Arial"/>
        </w:rPr>
        <w:t>-</w:t>
      </w:r>
      <w:proofErr w:type="spellStart"/>
      <w:r>
        <w:rPr>
          <w:rFonts w:cs="Arial"/>
        </w:rPr>
        <w:t>lg</w:t>
      </w:r>
      <w:proofErr w:type="spellEnd"/>
      <w:r>
        <w:rPr>
          <w:rFonts w:cs="Arial"/>
        </w:rPr>
        <w:t xml:space="preserve"> {c(</w:t>
      </w:r>
      <w:proofErr w:type="spellStart"/>
      <w:r>
        <w:rPr>
          <w:rFonts w:cs="Arial"/>
        </w:rPr>
        <w:t>Ac</w:t>
      </w:r>
      <w:proofErr w:type="spellEnd"/>
      <w:r w:rsidRPr="00450D2E">
        <w:rPr>
          <w:rFonts w:cs="Arial"/>
          <w:vertAlign w:val="superscript"/>
        </w:rPr>
        <w:t>-</w:t>
      </w:r>
      <w:r>
        <w:rPr>
          <w:rFonts w:cs="Arial"/>
        </w:rPr>
        <w:t>)}]</w:t>
      </w:r>
    </w:p>
    <w:p w:rsidR="00C6014C" w:rsidRDefault="00C6014C" w:rsidP="00C6014C">
      <w:pPr>
        <w:ind w:left="30"/>
        <w:rPr>
          <w:rFonts w:cs="Arial"/>
        </w:rPr>
      </w:pPr>
      <w:proofErr w:type="spellStart"/>
      <w:r>
        <w:rPr>
          <w:rFonts w:cs="Arial"/>
        </w:rPr>
        <w:t>Äquivalenzpunkt</w:t>
      </w:r>
      <w:proofErr w:type="spellEnd"/>
      <w:r>
        <w:rPr>
          <w:rFonts w:cs="Arial"/>
        </w:rPr>
        <w:t xml:space="preserve"> bei der Titration in V2: </w:t>
      </w:r>
      <w:r>
        <w:rPr>
          <w:rFonts w:cs="Arial"/>
        </w:rPr>
        <w:tab/>
      </w:r>
      <w:proofErr w:type="spellStart"/>
      <w:r>
        <w:rPr>
          <w:rFonts w:cs="Arial"/>
        </w:rPr>
        <w:t>pOH</w:t>
      </w:r>
      <w:proofErr w:type="spellEnd"/>
      <w:r w:rsidR="00450D2E">
        <w:rPr>
          <w:rFonts w:cs="Arial"/>
        </w:rPr>
        <w:t>= (1/2)[9,25 + 1] = 5,125</w:t>
      </w:r>
    </w:p>
    <w:p w:rsidR="001B3271" w:rsidRPr="00FB1D44" w:rsidRDefault="00450D2E" w:rsidP="00FB1D44">
      <w:pPr>
        <w:ind w:left="30"/>
        <w:rPr>
          <w:rFonts w:cs="Arial"/>
        </w:rPr>
      </w:pPr>
      <w:r>
        <w:rPr>
          <w:rFonts w:cs="Arial"/>
        </w:rPr>
        <w:tab/>
      </w:r>
      <w:r>
        <w:rPr>
          <w:rFonts w:cs="Arial"/>
        </w:rPr>
        <w:tab/>
      </w:r>
      <w:r>
        <w:rPr>
          <w:rFonts w:cs="Arial"/>
        </w:rPr>
        <w:tab/>
      </w:r>
      <w:r>
        <w:rPr>
          <w:rFonts w:cs="Arial"/>
        </w:rPr>
        <w:tab/>
      </w:r>
      <w:r>
        <w:rPr>
          <w:rFonts w:cs="Arial"/>
        </w:rPr>
        <w:tab/>
      </w:r>
      <w:r>
        <w:rPr>
          <w:rFonts w:cs="Arial"/>
        </w:rPr>
        <w:tab/>
        <w:t xml:space="preserve">pH= 14- 5,125= 8,875 </w:t>
      </w:r>
      <w:r w:rsidR="008A4570">
        <w:rPr>
          <w:rStyle w:val="Funotenzeichen"/>
          <w:rFonts w:cs="Arial"/>
        </w:rPr>
        <w:footnoteReference w:id="4"/>
      </w:r>
    </w:p>
    <w:sectPr w:rsidR="001B3271" w:rsidRPr="00FB1D44" w:rsidSect="001B3271">
      <w:headerReference w:type="default" r:id="rId9"/>
      <w:footerReference w:type="default" r:id="rId10"/>
      <w:pgSz w:w="11906" w:h="16838"/>
      <w:pgMar w:top="1418" w:right="1418" w:bottom="17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FCD" w:rsidRDefault="00841FCD" w:rsidP="00841FCD">
      <w:pPr>
        <w:spacing w:after="0" w:line="240" w:lineRule="auto"/>
      </w:pPr>
      <w:r>
        <w:separator/>
      </w:r>
    </w:p>
  </w:endnote>
  <w:endnote w:type="continuationSeparator" w:id="0">
    <w:p w:rsidR="00841FCD" w:rsidRDefault="00841FCD" w:rsidP="00841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71" w:rsidRPr="00BC537B" w:rsidRDefault="001B3271" w:rsidP="00BC537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FCD" w:rsidRDefault="00841FCD" w:rsidP="00841FCD">
      <w:pPr>
        <w:spacing w:after="0" w:line="240" w:lineRule="auto"/>
      </w:pPr>
      <w:r>
        <w:separator/>
      </w:r>
    </w:p>
  </w:footnote>
  <w:footnote w:type="continuationSeparator" w:id="0">
    <w:p w:rsidR="00841FCD" w:rsidRDefault="00841FCD" w:rsidP="00841FCD">
      <w:pPr>
        <w:spacing w:after="0" w:line="240" w:lineRule="auto"/>
      </w:pPr>
      <w:r>
        <w:continuationSeparator/>
      </w:r>
    </w:p>
  </w:footnote>
  <w:footnote w:id="1">
    <w:p w:rsidR="001B3271" w:rsidRPr="001B3271" w:rsidRDefault="001B3271">
      <w:pPr>
        <w:pStyle w:val="Funotentext"/>
        <w:rPr>
          <w:sz w:val="18"/>
          <w:szCs w:val="18"/>
        </w:rPr>
      </w:pPr>
      <w:r>
        <w:rPr>
          <w:rStyle w:val="Funotenzeichen"/>
        </w:rPr>
        <w:footnoteRef/>
      </w:r>
      <w:r>
        <w:t xml:space="preserve"> </w:t>
      </w:r>
      <w:r w:rsidRPr="001B3271">
        <w:rPr>
          <w:sz w:val="18"/>
          <w:szCs w:val="18"/>
        </w:rPr>
        <w:t>http://www.seilnacht.com/Chemie/ch_naohl.htm</w:t>
      </w:r>
    </w:p>
  </w:footnote>
  <w:footnote w:id="2">
    <w:p w:rsidR="001B3271" w:rsidRDefault="001B3271">
      <w:pPr>
        <w:pStyle w:val="Funotentext"/>
      </w:pPr>
      <w:r>
        <w:rPr>
          <w:rStyle w:val="Funotenzeichen"/>
        </w:rPr>
        <w:footnoteRef/>
      </w:r>
      <w:r>
        <w:t xml:space="preserve"> </w:t>
      </w:r>
      <w:r w:rsidRPr="007C328C">
        <w:rPr>
          <w:sz w:val="18"/>
          <w:szCs w:val="18"/>
        </w:rPr>
        <w:t>http://www.seilnacht.com/Chemie/ch_essig.htm</w:t>
      </w:r>
    </w:p>
  </w:footnote>
  <w:footnote w:id="3">
    <w:p w:rsidR="001B3271" w:rsidRPr="001B3271" w:rsidRDefault="001B3271" w:rsidP="001B3271">
      <w:pPr>
        <w:spacing w:line="240" w:lineRule="auto"/>
        <w:rPr>
          <w:sz w:val="18"/>
          <w:szCs w:val="18"/>
        </w:rPr>
      </w:pPr>
      <w:r>
        <w:rPr>
          <w:rStyle w:val="Funotenzeichen"/>
        </w:rPr>
        <w:footnoteRef/>
      </w:r>
      <w:r>
        <w:t xml:space="preserve"> </w:t>
      </w:r>
      <w:r w:rsidRPr="007C328C">
        <w:rPr>
          <w:sz w:val="18"/>
          <w:szCs w:val="18"/>
        </w:rPr>
        <w:t>http://www.s</w:t>
      </w:r>
      <w:r>
        <w:rPr>
          <w:sz w:val="18"/>
          <w:szCs w:val="18"/>
        </w:rPr>
        <w:t>eilnacht.com/Chemie/ch_pheth.htm</w:t>
      </w:r>
    </w:p>
  </w:footnote>
  <w:footnote w:id="4">
    <w:p w:rsidR="008A4570" w:rsidRDefault="008A4570">
      <w:pPr>
        <w:pStyle w:val="Funotentext"/>
      </w:pPr>
      <w:r>
        <w:rPr>
          <w:rStyle w:val="Funotenzeichen"/>
        </w:rPr>
        <w:footnoteRef/>
      </w:r>
      <w:r>
        <w:t xml:space="preserve"> vgl.: Elemente Chemie 2, S. 217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377" w:type="dxa"/>
      <w:tblLook w:val="04A0"/>
    </w:tblPr>
    <w:tblGrid>
      <w:gridCol w:w="3125"/>
      <w:gridCol w:w="3126"/>
      <w:gridCol w:w="3126"/>
    </w:tblGrid>
    <w:tr w:rsidR="00841FCD" w:rsidTr="00841FCD">
      <w:trPr>
        <w:trHeight w:val="453"/>
      </w:trPr>
      <w:tc>
        <w:tcPr>
          <w:tcW w:w="3125" w:type="dxa"/>
        </w:tcPr>
        <w:p w:rsidR="00841FCD" w:rsidRDefault="00841FCD">
          <w:pPr>
            <w:pStyle w:val="Kopfzeile"/>
          </w:pPr>
          <w:r>
            <w:t>Kurs: WG 12 Chemie</w:t>
          </w:r>
        </w:p>
      </w:tc>
      <w:tc>
        <w:tcPr>
          <w:tcW w:w="3126" w:type="dxa"/>
          <w:vMerge w:val="restart"/>
        </w:tcPr>
        <w:p w:rsidR="00841FCD" w:rsidRPr="00841FCD" w:rsidRDefault="00841FCD" w:rsidP="00841FCD">
          <w:pPr>
            <w:pStyle w:val="Kopfzeile"/>
            <w:jc w:val="center"/>
            <w:rPr>
              <w:sz w:val="24"/>
              <w:szCs w:val="24"/>
            </w:rPr>
          </w:pPr>
          <w:r w:rsidRPr="00841FCD">
            <w:rPr>
              <w:sz w:val="24"/>
              <w:szCs w:val="24"/>
            </w:rPr>
            <w:t>Versuchsprotokoll</w:t>
          </w:r>
        </w:p>
        <w:p w:rsidR="00841FCD" w:rsidRPr="00841FCD" w:rsidRDefault="00841FCD" w:rsidP="00841FCD">
          <w:pPr>
            <w:pStyle w:val="Kopfzeile"/>
            <w:jc w:val="center"/>
            <w:rPr>
              <w:sz w:val="24"/>
              <w:szCs w:val="24"/>
            </w:rPr>
          </w:pPr>
          <w:r w:rsidRPr="00841FCD">
            <w:rPr>
              <w:sz w:val="24"/>
              <w:szCs w:val="24"/>
            </w:rPr>
            <w:t>V2 Seite 217</w:t>
          </w:r>
        </w:p>
        <w:p w:rsidR="00841FCD" w:rsidRPr="00841FCD" w:rsidRDefault="00841FCD" w:rsidP="00841FCD">
          <w:pPr>
            <w:pStyle w:val="Kopfzeile"/>
            <w:jc w:val="center"/>
            <w:rPr>
              <w:sz w:val="24"/>
              <w:szCs w:val="24"/>
            </w:rPr>
          </w:pPr>
          <w:r w:rsidRPr="00841FCD">
            <w:rPr>
              <w:sz w:val="24"/>
              <w:szCs w:val="24"/>
            </w:rPr>
            <w:t>Elemente Chemie 2</w:t>
          </w:r>
        </w:p>
      </w:tc>
      <w:tc>
        <w:tcPr>
          <w:tcW w:w="3126" w:type="dxa"/>
        </w:tcPr>
        <w:p w:rsidR="00841FCD" w:rsidRPr="00841FCD" w:rsidRDefault="00841FCD" w:rsidP="00841FCD">
          <w:pPr>
            <w:pStyle w:val="Kopfzeile"/>
            <w:jc w:val="center"/>
            <w:rPr>
              <w:sz w:val="24"/>
              <w:szCs w:val="24"/>
            </w:rPr>
          </w:pPr>
          <w:r>
            <w:rPr>
              <w:sz w:val="24"/>
              <w:szCs w:val="24"/>
            </w:rPr>
            <w:t>Thema: Säuren und Basen</w:t>
          </w:r>
        </w:p>
      </w:tc>
    </w:tr>
    <w:tr w:rsidR="00841FCD" w:rsidTr="00841FCD">
      <w:trPr>
        <w:trHeight w:val="478"/>
      </w:trPr>
      <w:tc>
        <w:tcPr>
          <w:tcW w:w="3125" w:type="dxa"/>
        </w:tcPr>
        <w:p w:rsidR="00841FCD" w:rsidRDefault="00841FCD">
          <w:pPr>
            <w:pStyle w:val="Kopfzeile"/>
          </w:pPr>
          <w:r>
            <w:t>Datum: 09.05.2014</w:t>
          </w:r>
        </w:p>
      </w:tc>
      <w:tc>
        <w:tcPr>
          <w:tcW w:w="3126" w:type="dxa"/>
          <w:vMerge/>
        </w:tcPr>
        <w:p w:rsidR="00841FCD" w:rsidRPr="00841FCD" w:rsidRDefault="00841FCD" w:rsidP="00841FCD">
          <w:pPr>
            <w:pStyle w:val="Kopfzeile"/>
            <w:jc w:val="center"/>
            <w:rPr>
              <w:sz w:val="24"/>
              <w:szCs w:val="24"/>
            </w:rPr>
          </w:pPr>
        </w:p>
      </w:tc>
      <w:tc>
        <w:tcPr>
          <w:tcW w:w="3126" w:type="dxa"/>
        </w:tcPr>
        <w:p w:rsidR="00841FCD" w:rsidRPr="00841FCD" w:rsidRDefault="00841FCD" w:rsidP="00841FCD">
          <w:pPr>
            <w:pStyle w:val="Kopfzeile"/>
            <w:jc w:val="center"/>
            <w:rPr>
              <w:sz w:val="24"/>
              <w:szCs w:val="24"/>
            </w:rPr>
          </w:pPr>
          <w:r w:rsidRPr="00841FCD">
            <w:rPr>
              <w:sz w:val="24"/>
              <w:szCs w:val="24"/>
            </w:rPr>
            <w:t>Erstellt von: Levke Jentzsch</w:t>
          </w:r>
        </w:p>
      </w:tc>
    </w:tr>
  </w:tbl>
  <w:p w:rsidR="00841FCD" w:rsidRDefault="00841FC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1FEF"/>
    <w:multiLevelType w:val="hybridMultilevel"/>
    <w:tmpl w:val="972CD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86778F4"/>
    <w:multiLevelType w:val="hybridMultilevel"/>
    <w:tmpl w:val="652CBDA8"/>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841FCD"/>
    <w:rsid w:val="001B3271"/>
    <w:rsid w:val="001D3C1D"/>
    <w:rsid w:val="002560E7"/>
    <w:rsid w:val="002E5793"/>
    <w:rsid w:val="00450D2E"/>
    <w:rsid w:val="005A14FD"/>
    <w:rsid w:val="005C3ACB"/>
    <w:rsid w:val="00735254"/>
    <w:rsid w:val="007B7386"/>
    <w:rsid w:val="007C328C"/>
    <w:rsid w:val="00841FCD"/>
    <w:rsid w:val="00876955"/>
    <w:rsid w:val="008A4570"/>
    <w:rsid w:val="008B159F"/>
    <w:rsid w:val="00B16DEB"/>
    <w:rsid w:val="00BA193F"/>
    <w:rsid w:val="00BC537B"/>
    <w:rsid w:val="00C0254C"/>
    <w:rsid w:val="00C6014C"/>
    <w:rsid w:val="00D663EE"/>
    <w:rsid w:val="00E02F90"/>
    <w:rsid w:val="00FB1D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15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41F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41FCD"/>
  </w:style>
  <w:style w:type="paragraph" w:styleId="Fuzeile">
    <w:name w:val="footer"/>
    <w:basedOn w:val="Standard"/>
    <w:link w:val="FuzeileZchn"/>
    <w:uiPriority w:val="99"/>
    <w:semiHidden/>
    <w:unhideWhenUsed/>
    <w:rsid w:val="00841FC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41FCD"/>
  </w:style>
  <w:style w:type="table" w:styleId="Tabellengitternetz">
    <w:name w:val="Table Grid"/>
    <w:basedOn w:val="NormaleTabelle"/>
    <w:uiPriority w:val="59"/>
    <w:rsid w:val="0084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560E7"/>
    <w:pPr>
      <w:ind w:left="720"/>
      <w:contextualSpacing/>
    </w:pPr>
  </w:style>
  <w:style w:type="paragraph" w:styleId="Sprechblasentext">
    <w:name w:val="Balloon Text"/>
    <w:basedOn w:val="Standard"/>
    <w:link w:val="SprechblasentextZchn"/>
    <w:uiPriority w:val="99"/>
    <w:semiHidden/>
    <w:unhideWhenUsed/>
    <w:rsid w:val="00C025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254C"/>
    <w:rPr>
      <w:rFonts w:ascii="Tahoma" w:hAnsi="Tahoma" w:cs="Tahoma"/>
      <w:sz w:val="16"/>
      <w:szCs w:val="16"/>
    </w:rPr>
  </w:style>
  <w:style w:type="paragraph" w:styleId="Funotentext">
    <w:name w:val="footnote text"/>
    <w:basedOn w:val="Standard"/>
    <w:link w:val="FunotentextZchn"/>
    <w:uiPriority w:val="99"/>
    <w:semiHidden/>
    <w:unhideWhenUsed/>
    <w:rsid w:val="001B32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B3271"/>
    <w:rPr>
      <w:sz w:val="20"/>
      <w:szCs w:val="20"/>
    </w:rPr>
  </w:style>
  <w:style w:type="character" w:styleId="Funotenzeichen">
    <w:name w:val="footnote reference"/>
    <w:basedOn w:val="Absatz-Standardschriftart"/>
    <w:uiPriority w:val="99"/>
    <w:semiHidden/>
    <w:unhideWhenUsed/>
    <w:rsid w:val="001B3271"/>
    <w:rPr>
      <w:vertAlign w:val="superscript"/>
    </w:rPr>
  </w:style>
</w:styles>
</file>

<file path=word/webSettings.xml><?xml version="1.0" encoding="utf-8"?>
<w:webSettings xmlns:r="http://schemas.openxmlformats.org/officeDocument/2006/relationships" xmlns:w="http://schemas.openxmlformats.org/wordprocessingml/2006/main">
  <w:divs>
    <w:div w:id="36964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a:pPr>
            <a:r>
              <a:rPr lang="de-DE"/>
              <a:t>Titrationskurve</a:t>
            </a:r>
          </a:p>
        </c:rich>
      </c:tx>
      <c:layout/>
    </c:title>
    <c:plotArea>
      <c:layout/>
      <c:lineChart>
        <c:grouping val="standard"/>
        <c:ser>
          <c:idx val="0"/>
          <c:order val="0"/>
          <c:tx>
            <c:strRef>
              <c:f>Tabelle1!$B$1</c:f>
              <c:strCache>
                <c:ptCount val="1"/>
                <c:pt idx="0">
                  <c:v>pH-Wert</c:v>
                </c:pt>
              </c:strCache>
            </c:strRef>
          </c:tx>
          <c:marker>
            <c:symbol val="none"/>
          </c:marker>
          <c:cat>
            <c:strRef>
              <c:f>Tabelle1!$A$2:$A$26</c:f>
              <c:strCache>
                <c:ptCount val="25"/>
                <c:pt idx="0">
                  <c:v>0,0 ml</c:v>
                </c:pt>
                <c:pt idx="1">
                  <c:v>0,5 ml</c:v>
                </c:pt>
                <c:pt idx="2">
                  <c:v>1,0 ml</c:v>
                </c:pt>
                <c:pt idx="3">
                  <c:v>1,5 ml</c:v>
                </c:pt>
                <c:pt idx="4">
                  <c:v>2,0 ml</c:v>
                </c:pt>
                <c:pt idx="5">
                  <c:v>2,5 ml</c:v>
                </c:pt>
                <c:pt idx="6">
                  <c:v>3,0 ml</c:v>
                </c:pt>
                <c:pt idx="7">
                  <c:v>3,5 ml</c:v>
                </c:pt>
                <c:pt idx="8">
                  <c:v>4,0 ml</c:v>
                </c:pt>
                <c:pt idx="9">
                  <c:v>4,5 ml</c:v>
                </c:pt>
                <c:pt idx="10">
                  <c:v>5,0 ml</c:v>
                </c:pt>
                <c:pt idx="11">
                  <c:v>5,5 ml</c:v>
                </c:pt>
                <c:pt idx="12">
                  <c:v>6,0 ml</c:v>
                </c:pt>
                <c:pt idx="13">
                  <c:v>6,5 ml</c:v>
                </c:pt>
                <c:pt idx="14">
                  <c:v>7,0 ml</c:v>
                </c:pt>
                <c:pt idx="15">
                  <c:v>7,5 ml</c:v>
                </c:pt>
                <c:pt idx="16">
                  <c:v>8,0 ml</c:v>
                </c:pt>
                <c:pt idx="17">
                  <c:v>8,5 ml</c:v>
                </c:pt>
                <c:pt idx="18">
                  <c:v>9,0 ml</c:v>
                </c:pt>
                <c:pt idx="19">
                  <c:v>9,5 ml</c:v>
                </c:pt>
                <c:pt idx="20">
                  <c:v>10,0 ml</c:v>
                </c:pt>
                <c:pt idx="21">
                  <c:v>10,5 ml</c:v>
                </c:pt>
                <c:pt idx="22">
                  <c:v>11,0 ml</c:v>
                </c:pt>
                <c:pt idx="23">
                  <c:v>11,5 ml</c:v>
                </c:pt>
                <c:pt idx="24">
                  <c:v>12,0 ml</c:v>
                </c:pt>
              </c:strCache>
            </c:strRef>
          </c:cat>
          <c:val>
            <c:numRef>
              <c:f>Tabelle1!$B$2:$B$26</c:f>
              <c:numCache>
                <c:formatCode>General</c:formatCode>
                <c:ptCount val="25"/>
                <c:pt idx="0">
                  <c:v>3.1</c:v>
                </c:pt>
                <c:pt idx="1">
                  <c:v>3.2</c:v>
                </c:pt>
                <c:pt idx="2">
                  <c:v>3.7</c:v>
                </c:pt>
                <c:pt idx="3">
                  <c:v>3.9</c:v>
                </c:pt>
                <c:pt idx="4">
                  <c:v>4.0999999999999996</c:v>
                </c:pt>
                <c:pt idx="5">
                  <c:v>4.2</c:v>
                </c:pt>
                <c:pt idx="6">
                  <c:v>4.3</c:v>
                </c:pt>
                <c:pt idx="7">
                  <c:v>4.4000000000000004</c:v>
                </c:pt>
                <c:pt idx="8">
                  <c:v>4.4000000000000004</c:v>
                </c:pt>
                <c:pt idx="9">
                  <c:v>4.5</c:v>
                </c:pt>
                <c:pt idx="10">
                  <c:v>4.5999999999999996</c:v>
                </c:pt>
                <c:pt idx="11">
                  <c:v>4.7</c:v>
                </c:pt>
                <c:pt idx="12">
                  <c:v>4.8</c:v>
                </c:pt>
                <c:pt idx="13">
                  <c:v>4.9000000000000004</c:v>
                </c:pt>
                <c:pt idx="14">
                  <c:v>5</c:v>
                </c:pt>
                <c:pt idx="15">
                  <c:v>5.0999999999999996</c:v>
                </c:pt>
                <c:pt idx="16">
                  <c:v>5.2</c:v>
                </c:pt>
                <c:pt idx="17">
                  <c:v>5.3</c:v>
                </c:pt>
                <c:pt idx="18">
                  <c:v>5.5</c:v>
                </c:pt>
                <c:pt idx="19">
                  <c:v>5.7</c:v>
                </c:pt>
                <c:pt idx="20">
                  <c:v>6.2</c:v>
                </c:pt>
                <c:pt idx="21">
                  <c:v>11.2</c:v>
                </c:pt>
                <c:pt idx="22">
                  <c:v>11.5</c:v>
                </c:pt>
                <c:pt idx="23">
                  <c:v>11.8</c:v>
                </c:pt>
                <c:pt idx="24">
                  <c:v>11.9</c:v>
                </c:pt>
              </c:numCache>
            </c:numRef>
          </c:val>
        </c:ser>
        <c:hiLowLines/>
        <c:marker val="1"/>
        <c:axId val="73175424"/>
        <c:axId val="73177344"/>
      </c:lineChart>
      <c:catAx>
        <c:axId val="73175424"/>
        <c:scaling>
          <c:orientation val="minMax"/>
        </c:scaling>
        <c:axPos val="b"/>
        <c:title>
          <c:tx>
            <c:rich>
              <a:bodyPr/>
              <a:lstStyle/>
              <a:p>
                <a:pPr>
                  <a:defRPr/>
                </a:pPr>
                <a:r>
                  <a:rPr lang="en-US"/>
                  <a:t>Natronlaugenmenge</a:t>
                </a:r>
              </a:p>
            </c:rich>
          </c:tx>
          <c:layout/>
        </c:title>
        <c:majorTickMark val="none"/>
        <c:tickLblPos val="nextTo"/>
        <c:crossAx val="73177344"/>
        <c:crosses val="autoZero"/>
        <c:auto val="1"/>
        <c:lblAlgn val="ctr"/>
        <c:lblOffset val="100"/>
      </c:catAx>
      <c:valAx>
        <c:axId val="73177344"/>
        <c:scaling>
          <c:orientation val="minMax"/>
        </c:scaling>
        <c:axPos val="l"/>
        <c:majorGridlines/>
        <c:title>
          <c:tx>
            <c:rich>
              <a:bodyPr/>
              <a:lstStyle/>
              <a:p>
                <a:pPr>
                  <a:defRPr/>
                </a:pPr>
                <a:r>
                  <a:rPr lang="en-US"/>
                  <a:t>pH-Wert</a:t>
                </a:r>
              </a:p>
            </c:rich>
          </c:tx>
          <c:layout/>
        </c:title>
        <c:numFmt formatCode="General" sourceLinked="1"/>
        <c:tickLblPos val="nextTo"/>
        <c:crossAx val="7317542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424F2-30E7-4325-90F3-64EA3817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Jentzsch</dc:creator>
  <cp:lastModifiedBy>Stefan Jentzsch</cp:lastModifiedBy>
  <cp:revision>2</cp:revision>
  <cp:lastPrinted>2014-05-22T20:10:00Z</cp:lastPrinted>
  <dcterms:created xsi:type="dcterms:W3CDTF">2014-05-22T20:12:00Z</dcterms:created>
  <dcterms:modified xsi:type="dcterms:W3CDTF">2014-05-22T20:12:00Z</dcterms:modified>
</cp:coreProperties>
</file>